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80" w:rsidRPr="008B1B48" w:rsidRDefault="008B1B48" w:rsidP="008B1B48">
      <w:pPr>
        <w:jc w:val="center"/>
        <w:rPr>
          <w:rFonts w:hint="eastAsia"/>
          <w:b/>
          <w:sz w:val="28"/>
          <w:szCs w:val="28"/>
        </w:rPr>
      </w:pPr>
      <w:r w:rsidRPr="008B1B48">
        <w:rPr>
          <w:rFonts w:hint="eastAsia"/>
          <w:b/>
          <w:sz w:val="28"/>
          <w:szCs w:val="28"/>
        </w:rPr>
        <w:t>土壤</w:t>
      </w:r>
      <w:r>
        <w:rPr>
          <w:rFonts w:hint="eastAsia"/>
          <w:b/>
          <w:sz w:val="28"/>
          <w:szCs w:val="28"/>
        </w:rPr>
        <w:t>常规原位</w:t>
      </w:r>
      <w:r w:rsidRPr="008B1B48">
        <w:rPr>
          <w:rFonts w:hint="eastAsia"/>
          <w:b/>
          <w:sz w:val="28"/>
          <w:szCs w:val="28"/>
        </w:rPr>
        <w:t>修复技术简介</w:t>
      </w:r>
    </w:p>
    <w:p w:rsidR="008B1B48" w:rsidRDefault="008B1B48">
      <w:pPr>
        <w:rPr>
          <w:rFonts w:hint="eastAsia"/>
        </w:rPr>
      </w:pPr>
    </w:p>
    <w:p w:rsidR="008B1B48" w:rsidRDefault="005623C2" w:rsidP="008B1B48">
      <w:pPr>
        <w:spacing w:line="360" w:lineRule="auto"/>
        <w:rPr>
          <w:rFonts w:ascii="宋体" w:hAnsi="宋体"/>
          <w:sz w:val="28"/>
          <w:szCs w:val="28"/>
        </w:rPr>
      </w:pPr>
      <w:r>
        <w:rPr>
          <w:rFonts w:ascii="宋体" w:hAnsi="宋体" w:hint="eastAsia"/>
          <w:sz w:val="28"/>
          <w:szCs w:val="28"/>
        </w:rPr>
        <w:t>1、</w:t>
      </w:r>
      <w:r w:rsidR="008B1B48">
        <w:rPr>
          <w:rFonts w:ascii="宋体" w:hAnsi="宋体" w:hint="eastAsia"/>
          <w:sz w:val="28"/>
          <w:szCs w:val="28"/>
        </w:rPr>
        <w:t>物理-化学修复技术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物理-化学修复是利用污染物或污染介质的物理化学特性，以破坏（如改变化学性质）、分离或固化污染物为主要方式，具有实施周期短、可用于处理各种污染物等优点。主要包括：原位加热抽提技术处理技术、原位土壤固化-稳定化技术、原位淋洗技术、原位氧化还原技术、原位电动力学修复技术和土壤性能改良技术等。</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①原位加热抽提技术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该技术通过抽气井产生真空，使形成一个压力或浓度梯度，并使气相中的挥发性有机物由抽气井抽出，从而使土壤中的挥发性或半挥发性污染物质得到去除。</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工程实施时，往往需要在地表面覆盖地形膜，以防止发生短路，并可增加抽气井的作用范围。该技术主要用于挥发性有机污染物</w:t>
      </w:r>
      <w:r>
        <w:rPr>
          <w:rFonts w:ascii="宋体" w:hAnsi="宋体"/>
          <w:sz w:val="28"/>
          <w:szCs w:val="28"/>
        </w:rPr>
        <w:t>(</w:t>
      </w:r>
      <w:r>
        <w:rPr>
          <w:rFonts w:ascii="宋体" w:hAnsi="宋体" w:hint="eastAsia"/>
          <w:sz w:val="28"/>
          <w:szCs w:val="28"/>
        </w:rPr>
        <w:t>通常为亨利系数，大于</w:t>
      </w:r>
      <w:r>
        <w:rPr>
          <w:rFonts w:ascii="宋体" w:hAnsi="宋体"/>
          <w:sz w:val="28"/>
          <w:szCs w:val="28"/>
        </w:rPr>
        <w:t>0.01</w:t>
      </w:r>
      <w:r>
        <w:rPr>
          <w:rFonts w:ascii="宋体" w:hAnsi="宋体" w:hint="eastAsia"/>
          <w:sz w:val="28"/>
          <w:szCs w:val="28"/>
        </w:rPr>
        <w:t>或者蒸汽压大于</w:t>
      </w:r>
      <w:r>
        <w:rPr>
          <w:rFonts w:ascii="宋体" w:hAnsi="宋体"/>
          <w:sz w:val="28"/>
          <w:szCs w:val="28"/>
        </w:rPr>
        <w:t>66.66Pa</w:t>
      </w:r>
      <w:r>
        <w:rPr>
          <w:rFonts w:ascii="宋体" w:hAnsi="宋体" w:hint="eastAsia"/>
          <w:sz w:val="28"/>
          <w:szCs w:val="28"/>
        </w:rPr>
        <w:t>的有机物</w:t>
      </w:r>
      <w:r>
        <w:rPr>
          <w:rFonts w:ascii="宋体" w:hAnsi="宋体"/>
          <w:sz w:val="28"/>
          <w:szCs w:val="28"/>
        </w:rPr>
        <w:t>)</w:t>
      </w:r>
      <w:r>
        <w:rPr>
          <w:rFonts w:ascii="宋体" w:hAnsi="宋体" w:hint="eastAsia"/>
          <w:sz w:val="28"/>
          <w:szCs w:val="28"/>
        </w:rPr>
        <w:t>的处理，但要求土壤的质地均一、渗透性好、孔隙率大、湿度小且地下水位较低。有时，该技术也用于去除土壤中的油类、有机金属、多环芳烃</w:t>
      </w:r>
      <w:r>
        <w:rPr>
          <w:rFonts w:ascii="宋体" w:hAnsi="宋体"/>
          <w:sz w:val="28"/>
          <w:szCs w:val="28"/>
        </w:rPr>
        <w:t>(PAHs)</w:t>
      </w:r>
      <w:r>
        <w:rPr>
          <w:rFonts w:ascii="宋体" w:hAnsi="宋体" w:hint="eastAsia"/>
          <w:sz w:val="28"/>
          <w:szCs w:val="28"/>
        </w:rPr>
        <w:t>或二噁英等污染物。</w:t>
      </w:r>
    </w:p>
    <w:p w:rsidR="008B1B48" w:rsidRDefault="008B1B48" w:rsidP="008B1B48">
      <w:pPr>
        <w:spacing w:line="360" w:lineRule="auto"/>
        <w:ind w:firstLineChars="200" w:firstLine="560"/>
        <w:rPr>
          <w:rFonts w:ascii="宋体" w:hAnsi="宋体" w:hint="eastAsia"/>
          <w:sz w:val="28"/>
          <w:szCs w:val="28"/>
        </w:rPr>
      </w:pPr>
      <w:r>
        <w:rPr>
          <w:rFonts w:ascii="宋体" w:hAnsi="宋体" w:hint="eastAsia"/>
          <w:sz w:val="28"/>
          <w:szCs w:val="28"/>
        </w:rPr>
        <w:t>另外，由于原位蒸汽抽提技术在实施时向土壤中连续引入空气流，促进了土壤中一些低挥发性有机物的生物好氧降解过程。根据要求的修复程度、修复土壤的体积、污染物浓度及分布、现场条件</w:t>
      </w:r>
      <w:r>
        <w:rPr>
          <w:rFonts w:ascii="宋体" w:hAnsi="宋体"/>
          <w:sz w:val="28"/>
          <w:szCs w:val="28"/>
        </w:rPr>
        <w:t>(</w:t>
      </w:r>
      <w:r>
        <w:rPr>
          <w:rFonts w:ascii="宋体" w:hAnsi="宋体" w:hint="eastAsia"/>
          <w:sz w:val="28"/>
          <w:szCs w:val="28"/>
        </w:rPr>
        <w:t>如土壤渗透性、各向异质性等</w:t>
      </w:r>
      <w:r>
        <w:rPr>
          <w:rFonts w:ascii="宋体" w:hAnsi="宋体"/>
          <w:sz w:val="28"/>
          <w:szCs w:val="28"/>
        </w:rPr>
        <w:t>)</w:t>
      </w:r>
      <w:r>
        <w:rPr>
          <w:rFonts w:ascii="宋体" w:hAnsi="宋体" w:hint="eastAsia"/>
          <w:sz w:val="28"/>
          <w:szCs w:val="28"/>
        </w:rPr>
        <w:t>、工艺设施的工作能力等情况的不同，该技术所需的实施时间为，</w:t>
      </w:r>
      <w:r>
        <w:rPr>
          <w:rFonts w:ascii="宋体" w:hAnsi="宋体"/>
          <w:sz w:val="28"/>
          <w:szCs w:val="28"/>
        </w:rPr>
        <w:t>6</w:t>
      </w:r>
      <w:r>
        <w:rPr>
          <w:rFonts w:hint="eastAsia"/>
          <w:sz w:val="28"/>
          <w:szCs w:val="28"/>
        </w:rPr>
        <w:t>~</w:t>
      </w:r>
      <w:r>
        <w:rPr>
          <w:rFonts w:ascii="宋体" w:hAnsi="宋体"/>
          <w:sz w:val="28"/>
          <w:szCs w:val="28"/>
        </w:rPr>
        <w:t>12</w:t>
      </w:r>
      <w:r>
        <w:rPr>
          <w:rFonts w:ascii="宋体" w:hAnsi="宋体" w:hint="eastAsia"/>
          <w:sz w:val="28"/>
          <w:szCs w:val="28"/>
        </w:rPr>
        <w:t>个月，所需费用约为</w:t>
      </w:r>
      <w:r>
        <w:rPr>
          <w:rFonts w:ascii="宋体" w:hAnsi="宋体"/>
          <w:sz w:val="28"/>
          <w:szCs w:val="28"/>
        </w:rPr>
        <w:t>26</w:t>
      </w:r>
      <w:r>
        <w:rPr>
          <w:rFonts w:hint="eastAsia"/>
          <w:sz w:val="28"/>
          <w:szCs w:val="28"/>
        </w:rPr>
        <w:t>~</w:t>
      </w:r>
      <w:r>
        <w:rPr>
          <w:rFonts w:ascii="宋体" w:hAnsi="宋体"/>
          <w:sz w:val="28"/>
          <w:szCs w:val="28"/>
        </w:rPr>
        <w:t>78</w:t>
      </w:r>
      <w:r>
        <w:rPr>
          <w:rFonts w:ascii="宋体" w:hAnsi="宋体" w:hint="eastAsia"/>
          <w:sz w:val="28"/>
          <w:szCs w:val="28"/>
        </w:rPr>
        <w:t>美元</w:t>
      </w:r>
      <w:r>
        <w:rPr>
          <w:rFonts w:ascii="宋体" w:hAnsi="宋体"/>
          <w:sz w:val="28"/>
          <w:szCs w:val="28"/>
        </w:rPr>
        <w:t xml:space="preserve">/m3 </w:t>
      </w:r>
      <w:r>
        <w:rPr>
          <w:rFonts w:ascii="宋体" w:hAnsi="宋体" w:hint="eastAsia"/>
          <w:sz w:val="28"/>
          <w:szCs w:val="28"/>
        </w:rPr>
        <w:t>。</w:t>
      </w:r>
    </w:p>
    <w:p w:rsidR="008B1B48" w:rsidRDefault="008B1B48" w:rsidP="008B1B48">
      <w:pPr>
        <w:ind w:firstLine="560"/>
        <w:rPr>
          <w:rFonts w:ascii="仿宋_GB2312" w:hint="eastAsia"/>
          <w:szCs w:val="28"/>
        </w:rPr>
      </w:pPr>
      <w:r>
        <w:rPr>
          <w:rFonts w:ascii="仿宋_GB2312" w:hint="eastAsia"/>
          <w:szCs w:val="28"/>
          <w:lang w:val="en-US" w:eastAsia="zh-CN"/>
        </w:rPr>
        <w:lastRenderedPageBreak/>
        <w:pict>
          <v:group id="Group 125" o:spid="_x0000_s1027" alt="" style="position:absolute;left:0;text-align:left;margin-left:26.25pt;margin-top:6.2pt;width:381pt;height:237.75pt;z-index:251661312" coordsize="7620,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overview_remediation_CN76 拷贝" style="position:absolute;width:7620;height:4755">
              <v:imagedata r:id="rId4" o:title="overview_remediation_CN76 拷贝"/>
            </v:shape>
            <v:rect id="Rectangle 127" o:spid="_x0000_s1029" style="position:absolute;left:5191;top:1874;width:2340;height:2687;v-text-anchor:middle" fillcolor="#f90" strokecolor="white">
              <v:fill color2="#930"/>
              <v:shadow color="#bb5f03"/>
              <v:textbox style="mso-next-textbox:#Rectangle 127">
                <w:txbxContent>
                  <w:p w:rsidR="008B1B48" w:rsidRDefault="008B1B48" w:rsidP="008B1B48">
                    <w:pPr>
                      <w:autoSpaceDE w:val="0"/>
                      <w:autoSpaceDN w:val="0"/>
                      <w:adjustRightInd w:val="0"/>
                      <w:ind w:firstLine="720"/>
                      <w:rPr>
                        <w:rFonts w:ascii="Arial" w:hAnsi="Arial" w:cs="宋体"/>
                        <w:color w:val="FFFFFF"/>
                        <w:sz w:val="36"/>
                        <w:szCs w:val="36"/>
                        <w:lang w:val="zh-CN"/>
                      </w:rPr>
                    </w:pPr>
                    <w:r>
                      <w:rPr>
                        <w:rFonts w:ascii="Arial" w:hAnsi="Arial" w:cs="Arial"/>
                        <w:color w:val="FFFFFF"/>
                        <w:sz w:val="36"/>
                        <w:szCs w:val="36"/>
                      </w:rPr>
                      <w:t>A=</w:t>
                    </w:r>
                    <w:r>
                      <w:rPr>
                        <w:rFonts w:ascii="Arial" w:hAnsi="Arial" w:cs="宋体" w:hint="eastAsia"/>
                        <w:color w:val="FFFFFF"/>
                        <w:sz w:val="36"/>
                        <w:szCs w:val="36"/>
                        <w:lang w:val="zh-CN"/>
                      </w:rPr>
                      <w:t>空气</w:t>
                    </w:r>
                  </w:p>
                  <w:p w:rsidR="008B1B48" w:rsidRDefault="008B1B48" w:rsidP="008B1B48">
                    <w:pPr>
                      <w:autoSpaceDE w:val="0"/>
                      <w:autoSpaceDN w:val="0"/>
                      <w:adjustRightInd w:val="0"/>
                      <w:ind w:firstLine="720"/>
                      <w:rPr>
                        <w:rFonts w:ascii="Arial" w:hAnsi="Arial" w:cs="宋体"/>
                        <w:color w:val="FFFFFF"/>
                        <w:sz w:val="36"/>
                        <w:szCs w:val="36"/>
                        <w:lang w:val="zh-CN"/>
                      </w:rPr>
                    </w:pPr>
                    <w:r>
                      <w:rPr>
                        <w:rFonts w:ascii="Arial" w:hAnsi="Arial" w:cs="Arial"/>
                        <w:color w:val="FFFFFF"/>
                        <w:sz w:val="36"/>
                        <w:szCs w:val="36"/>
                      </w:rPr>
                      <w:t>C=</w:t>
                    </w:r>
                    <w:r>
                      <w:rPr>
                        <w:rFonts w:ascii="Arial" w:hAnsi="Arial" w:cs="宋体" w:hint="eastAsia"/>
                        <w:color w:val="FFFFFF"/>
                        <w:sz w:val="36"/>
                        <w:szCs w:val="36"/>
                        <w:lang w:val="zh-CN"/>
                      </w:rPr>
                      <w:t>污染</w:t>
                    </w:r>
                  </w:p>
                  <w:p w:rsidR="008B1B48" w:rsidRDefault="008B1B48" w:rsidP="008B1B48">
                    <w:pPr>
                      <w:autoSpaceDE w:val="0"/>
                      <w:autoSpaceDN w:val="0"/>
                      <w:adjustRightInd w:val="0"/>
                      <w:ind w:firstLine="720"/>
                      <w:rPr>
                        <w:rFonts w:ascii="Arial" w:hAnsi="Arial" w:cs="宋体"/>
                        <w:color w:val="FFFFFF"/>
                        <w:sz w:val="36"/>
                        <w:szCs w:val="36"/>
                        <w:lang w:val="zh-CN"/>
                      </w:rPr>
                    </w:pPr>
                    <w:r>
                      <w:rPr>
                        <w:rFonts w:ascii="Arial" w:hAnsi="Arial" w:cs="Arial"/>
                        <w:color w:val="FFFFFF"/>
                        <w:sz w:val="36"/>
                        <w:szCs w:val="36"/>
                      </w:rPr>
                      <w:t>E=</w:t>
                    </w:r>
                    <w:r>
                      <w:rPr>
                        <w:rFonts w:ascii="Arial" w:hAnsi="Arial" w:cs="宋体" w:hint="eastAsia"/>
                        <w:color w:val="FFFFFF"/>
                        <w:sz w:val="36"/>
                        <w:szCs w:val="36"/>
                        <w:lang w:val="zh-CN"/>
                      </w:rPr>
                      <w:t>抽取（引风机）</w:t>
                    </w:r>
                  </w:p>
                  <w:p w:rsidR="008B1B48" w:rsidRDefault="008B1B48" w:rsidP="008B1B48">
                    <w:pPr>
                      <w:autoSpaceDE w:val="0"/>
                      <w:autoSpaceDN w:val="0"/>
                      <w:adjustRightInd w:val="0"/>
                      <w:ind w:firstLine="720"/>
                      <w:rPr>
                        <w:rFonts w:ascii="Arial" w:hAnsi="Arial" w:cs="宋体"/>
                        <w:color w:val="FFFFFF"/>
                        <w:sz w:val="36"/>
                        <w:szCs w:val="36"/>
                        <w:lang w:val="zh-CN"/>
                      </w:rPr>
                    </w:pPr>
                    <w:r>
                      <w:rPr>
                        <w:rFonts w:ascii="Arial" w:hAnsi="Arial" w:cs="Arial"/>
                        <w:color w:val="FFFFFF"/>
                        <w:sz w:val="36"/>
                        <w:szCs w:val="36"/>
                      </w:rPr>
                      <w:t>N=</w:t>
                    </w:r>
                    <w:r>
                      <w:rPr>
                        <w:rFonts w:ascii="Arial" w:hAnsi="Arial" w:cs="宋体" w:hint="eastAsia"/>
                        <w:color w:val="FFFFFF"/>
                        <w:sz w:val="36"/>
                        <w:szCs w:val="36"/>
                        <w:lang w:val="zh-CN"/>
                      </w:rPr>
                      <w:t>养分</w:t>
                    </w:r>
                  </w:p>
                </w:txbxContent>
              </v:textbox>
            </v:rect>
          </v:group>
        </w:pict>
      </w: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spacing w:line="360" w:lineRule="auto"/>
        <w:ind w:firstLineChars="200" w:firstLine="560"/>
        <w:jc w:val="center"/>
        <w:rPr>
          <w:rFonts w:ascii="宋体" w:hAnsi="宋体" w:hint="eastAsia"/>
          <w:sz w:val="28"/>
          <w:szCs w:val="28"/>
        </w:rPr>
      </w:pPr>
      <w:r>
        <w:rPr>
          <w:rFonts w:ascii="仿宋_GB2312" w:eastAsia="仿宋_GB2312" w:hAnsi="宋体" w:hint="eastAsia"/>
          <w:sz w:val="28"/>
          <w:szCs w:val="28"/>
        </w:rPr>
        <w:t>图</w:t>
      </w:r>
      <w:r w:rsidR="005623C2">
        <w:rPr>
          <w:rFonts w:ascii="仿宋_GB2312" w:eastAsia="仿宋_GB2312" w:hAnsi="宋体" w:hint="eastAsia"/>
          <w:sz w:val="28"/>
          <w:szCs w:val="28"/>
        </w:rPr>
        <w:t>1</w:t>
      </w:r>
      <w:r>
        <w:rPr>
          <w:rFonts w:ascii="仿宋_GB2312" w:eastAsia="仿宋_GB2312" w:hAnsi="宋体" w:hint="eastAsia"/>
          <w:sz w:val="28"/>
          <w:szCs w:val="28"/>
        </w:rPr>
        <w:t>原位加热抽提技术示意图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②土壤淋洗技术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土壤淋洗技术指借助能促进土壤环境中污染物溶解或迁移作用的溶剂，通过水力压头推动清洗液，将其注入被污染土层中，然后再将包含污染物的液体从土层中抽提出，在地面处理后再排放或回灌的一种方法。由于淋洗液的注入，可改变地下水/土壤与污染物的吸/脱附特性、氧化还原状态、界面张力、酸碱状态及分配、溶解、沉淀状态等，达到增加污染物溶解度，造成污染物与溶液形成乳液（emulsion）或产生化学反应，促使原本吸附在土壤中或以液体型式存在的污染物容易随地下水移动，从而去除污染物。常见的淋洗</w:t>
      </w:r>
      <w:proofErr w:type="gramStart"/>
      <w:r>
        <w:rPr>
          <w:rFonts w:ascii="宋体" w:hAnsi="宋体" w:hint="eastAsia"/>
          <w:sz w:val="28"/>
          <w:szCs w:val="28"/>
        </w:rPr>
        <w:t>液包括</w:t>
      </w:r>
      <w:proofErr w:type="gramEnd"/>
      <w:r>
        <w:rPr>
          <w:rFonts w:ascii="宋体" w:hAnsi="宋体" w:hint="eastAsia"/>
          <w:sz w:val="28"/>
          <w:szCs w:val="28"/>
        </w:rPr>
        <w:t>界面活性剂、共溶剂、泡沫、酸、碱及螯合剂。界面活性剂分子包括亲水基及</w:t>
      </w:r>
      <w:proofErr w:type="gramStart"/>
      <w:r>
        <w:rPr>
          <w:rFonts w:ascii="宋体" w:hAnsi="宋体" w:hint="eastAsia"/>
          <w:sz w:val="28"/>
          <w:szCs w:val="28"/>
        </w:rPr>
        <w:t>疏水基两部分</w:t>
      </w:r>
      <w:proofErr w:type="gramEnd"/>
      <w:r>
        <w:rPr>
          <w:rFonts w:ascii="宋体" w:hAnsi="宋体" w:hint="eastAsia"/>
          <w:sz w:val="28"/>
          <w:szCs w:val="28"/>
        </w:rPr>
        <w:t>组成，当其在水中的浓度超过临界微胞浓度时，界面活性剂分子中的疏水部分会同时朝内，而使亲水基朝外与水接触形成微胞（micelle）的结构。</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lastRenderedPageBreak/>
        <w:t>原位化学淋洗技术适用于水力传导系数较大的多孔隙、易渗透的土壤，如沙土、砂砾土壤、冲积土和滨海土，不适用于红壤、黄壤等质地较细的土壤；</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其原理示意图见下图。</w:t>
      </w:r>
    </w:p>
    <w:p w:rsidR="008B1B48" w:rsidRDefault="008B1B48" w:rsidP="008B1B48">
      <w:pPr>
        <w:ind w:firstLine="560"/>
        <w:rPr>
          <w:rFonts w:hint="eastAsia"/>
          <w:szCs w:val="28"/>
        </w:rPr>
      </w:pPr>
    </w:p>
    <w:p w:rsidR="008B1B48" w:rsidRDefault="008B1B48" w:rsidP="008B1B48">
      <w:pPr>
        <w:ind w:firstLine="560"/>
        <w:rPr>
          <w:szCs w:val="28"/>
        </w:rPr>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78740</wp:posOffset>
            </wp:positionV>
            <wp:extent cx="5210175" cy="3467100"/>
            <wp:effectExtent l="19050" t="0" r="9525" b="0"/>
            <wp:wrapNone/>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a:srcRect/>
                    <a:stretch>
                      <a:fillRect/>
                    </a:stretch>
                  </pic:blipFill>
                  <pic:spPr bwMode="auto">
                    <a:xfrm>
                      <a:off x="0" y="0"/>
                      <a:ext cx="5210175" cy="3467100"/>
                    </a:xfrm>
                    <a:prstGeom prst="rect">
                      <a:avLst/>
                    </a:prstGeom>
                    <a:noFill/>
                    <a:ln w="9525">
                      <a:noFill/>
                      <a:miter lim="800000"/>
                      <a:headEnd/>
                      <a:tailEnd/>
                    </a:ln>
                  </pic:spPr>
                </pic:pic>
              </a:graphicData>
            </a:graphic>
          </wp:anchor>
        </w:drawing>
      </w: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rFonts w:hint="eastAsia"/>
          <w:szCs w:val="28"/>
        </w:rPr>
      </w:pPr>
    </w:p>
    <w:p w:rsidR="008B1B48" w:rsidRDefault="008B1B48" w:rsidP="008B1B48">
      <w:pPr>
        <w:ind w:firstLine="560"/>
        <w:rPr>
          <w:lang w:val="en-US" w:eastAsia="zh-CN"/>
        </w:rPr>
      </w:pPr>
      <w:r>
        <w:rPr>
          <w:noProof/>
        </w:rPr>
        <w:drawing>
          <wp:inline distT="0" distB="0" distL="0" distR="0">
            <wp:extent cx="4610100" cy="245745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srcRect b="16347"/>
                    <a:stretch>
                      <a:fillRect/>
                    </a:stretch>
                  </pic:blipFill>
                  <pic:spPr bwMode="auto">
                    <a:xfrm>
                      <a:off x="0" y="0"/>
                      <a:ext cx="4610100" cy="2457450"/>
                    </a:xfrm>
                    <a:prstGeom prst="rect">
                      <a:avLst/>
                    </a:prstGeom>
                    <a:noFill/>
                    <a:ln w="9525">
                      <a:noFill/>
                      <a:miter lim="800000"/>
                      <a:headEnd/>
                      <a:tailEnd/>
                    </a:ln>
                  </pic:spPr>
                </pic:pic>
              </a:graphicData>
            </a:graphic>
          </wp:inline>
        </w:drawing>
      </w:r>
    </w:p>
    <w:p w:rsidR="008B1B48" w:rsidRDefault="008B1B48" w:rsidP="008B1B48">
      <w:pPr>
        <w:pStyle w:val="a4"/>
        <w:jc w:val="center"/>
        <w:rPr>
          <w:rFonts w:ascii="仿宋_GB2312"/>
        </w:rPr>
      </w:pPr>
      <w:r>
        <w:rPr>
          <w:rFonts w:ascii="仿宋_GB2312" w:hint="eastAsia"/>
        </w:rPr>
        <w:t>图</w:t>
      </w:r>
      <w:r w:rsidR="005623C2">
        <w:rPr>
          <w:rFonts w:ascii="仿宋_GB2312" w:hint="eastAsia"/>
        </w:rPr>
        <w:t>2</w:t>
      </w:r>
      <w:r>
        <w:rPr>
          <w:rFonts w:ascii="仿宋_GB2312" w:hint="eastAsia"/>
        </w:rPr>
        <w:t xml:space="preserve"> 原位土壤淋洗法修复示意图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原位土壤淋洗操作系统主要包括污染区包围屏障系统、淋洗液施</w:t>
      </w:r>
      <w:r>
        <w:rPr>
          <w:rFonts w:ascii="宋体" w:hAnsi="宋体" w:hint="eastAsia"/>
          <w:sz w:val="28"/>
          <w:szCs w:val="28"/>
        </w:rPr>
        <w:lastRenderedPageBreak/>
        <w:t>加系统、淋洗液再生及循环系统和污染物处理及排放系统。主要操作步骤为：根据污染场地的地质特点和工程需求确定注入井和抽提井的位置、数目和深度，以及</w:t>
      </w:r>
      <w:proofErr w:type="gramStart"/>
      <w:r>
        <w:rPr>
          <w:rFonts w:ascii="宋体" w:hAnsi="宋体" w:hint="eastAsia"/>
          <w:sz w:val="28"/>
          <w:szCs w:val="28"/>
        </w:rPr>
        <w:t>淋洗剂回用</w:t>
      </w:r>
      <w:proofErr w:type="gramEnd"/>
      <w:r>
        <w:rPr>
          <w:rFonts w:ascii="宋体" w:hAnsi="宋体" w:hint="eastAsia"/>
          <w:sz w:val="28"/>
          <w:szCs w:val="28"/>
        </w:rPr>
        <w:t>处理设备的位置；注入淋洗剂，进行淋洗修复处理；抽提出含有污染物质的淋洗剂；淋洗剂净化回用；污染物质安全化处理。</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③土壤氧化-还原技术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土壤化学氧化-还原技术是通过向土壤</w:t>
      </w:r>
      <w:proofErr w:type="gramStart"/>
      <w:r>
        <w:rPr>
          <w:rFonts w:ascii="宋体" w:hAnsi="宋体" w:hint="eastAsia"/>
          <w:sz w:val="28"/>
          <w:szCs w:val="28"/>
        </w:rPr>
        <w:t>渗透层投加</w:t>
      </w:r>
      <w:proofErr w:type="gramEnd"/>
      <w:r>
        <w:rPr>
          <w:rFonts w:ascii="宋体" w:hAnsi="宋体" w:hint="eastAsia"/>
          <w:sz w:val="28"/>
          <w:szCs w:val="28"/>
        </w:rPr>
        <w:t>化学氧化剂(Fenton 试剂、臭氧、过氧化氢、高锰酸盐、过硫酸盐等)或还原剂(SO2、</w:t>
      </w:r>
      <w:proofErr w:type="spellStart"/>
      <w:r>
        <w:rPr>
          <w:rFonts w:ascii="宋体" w:hAnsi="宋体" w:hint="eastAsia"/>
          <w:sz w:val="28"/>
          <w:szCs w:val="28"/>
        </w:rPr>
        <w:t>FeO</w:t>
      </w:r>
      <w:proofErr w:type="spellEnd"/>
      <w:r>
        <w:rPr>
          <w:rFonts w:ascii="宋体" w:hAnsi="宋体" w:hint="eastAsia"/>
          <w:sz w:val="28"/>
          <w:szCs w:val="28"/>
        </w:rPr>
        <w:t>、气态H2S 等)，使其与污染物质发生化学反应来实现净化土壤的目的。采用合适的氧化剂/还原剂是本技术的关键，原位化学氧化/还原技术化学试剂的注入通常由垂直、水平井的注入或由重力流入的方式到污染区域中。选用的试剂种类及注入方式需根据场地污染情况及水文地质情况进行确定。通常，化学氧化法适用于土壤和地下水同时被有机物污染的修复场地。运用化学还原法修复对还原作用敏感的有机污染物是当前修复技术研发的热点。例如,纳米级粉末零价铁的强脱氯作用已被接受和运用于土壤与地下水的修复。但是,目前零价铁还原脱氯降解含氯有机化合物技术的应用还存在诸如铁表面活性的钝化、被土壤吸附产生聚合失效等问题，需要开发新的催化剂和表面激活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总体而言，化学氧化/还原技术可用于修复严重污染的场地或污染源区域，但对于污染物浓度较低的轻度污染区域，该技术并不经济。该技术所需的工程周期一般在几天至几个月不等，</w:t>
      </w:r>
      <w:proofErr w:type="gramStart"/>
      <w:r>
        <w:rPr>
          <w:rFonts w:ascii="宋体" w:hAnsi="宋体" w:hint="eastAsia"/>
          <w:sz w:val="28"/>
          <w:szCs w:val="28"/>
        </w:rPr>
        <w:t>具体依待处理</w:t>
      </w:r>
      <w:proofErr w:type="gramEnd"/>
      <w:r>
        <w:rPr>
          <w:rFonts w:ascii="宋体" w:hAnsi="宋体" w:hint="eastAsia"/>
          <w:sz w:val="28"/>
          <w:szCs w:val="28"/>
        </w:rPr>
        <w:t>污染</w:t>
      </w:r>
      <w:r>
        <w:rPr>
          <w:rFonts w:ascii="宋体" w:hAnsi="宋体" w:hint="eastAsia"/>
          <w:sz w:val="28"/>
          <w:szCs w:val="28"/>
        </w:rPr>
        <w:lastRenderedPageBreak/>
        <w:t>区域的面积、氧化剂/还原剂的输送速率、修复目标值及地下含水层的特性等因素而定。</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④土壤气体抽提Soil Vapor Extraction(SVE)</w:t>
      </w:r>
    </w:p>
    <w:p w:rsidR="008B1B48" w:rsidRDefault="008B1B48" w:rsidP="008B1B48">
      <w:pPr>
        <w:pStyle w:val="a5"/>
        <w:keepNext/>
        <w:ind w:firstLine="560"/>
        <w:rPr>
          <w:rFonts w:ascii="仿宋_GB2312"/>
          <w:color w:val="auto"/>
          <w:kern w:val="2"/>
          <w:sz w:val="28"/>
          <w:szCs w:val="28"/>
        </w:rPr>
      </w:pPr>
      <w:r>
        <w:rPr>
          <w:rFonts w:ascii="仿宋_GB2312"/>
          <w:noProof/>
          <w:color w:val="auto"/>
          <w:kern w:val="2"/>
          <w:sz w:val="28"/>
          <w:szCs w:val="28"/>
        </w:rPr>
        <w:drawing>
          <wp:inline distT="0" distB="0" distL="0" distR="0">
            <wp:extent cx="5210175" cy="29241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210175" cy="2924175"/>
                    </a:xfrm>
                    <a:prstGeom prst="rect">
                      <a:avLst/>
                    </a:prstGeom>
                    <a:noFill/>
                    <a:ln w="9525">
                      <a:noFill/>
                      <a:miter lim="800000"/>
                      <a:headEnd/>
                      <a:tailEnd/>
                    </a:ln>
                  </pic:spPr>
                </pic:pic>
              </a:graphicData>
            </a:graphic>
          </wp:inline>
        </w:drawing>
      </w:r>
    </w:p>
    <w:p w:rsidR="008B1B48" w:rsidRDefault="008B1B48" w:rsidP="008B1B48">
      <w:pPr>
        <w:pStyle w:val="a3"/>
      </w:pPr>
      <w:r>
        <w:rPr>
          <w:rFonts w:hint="eastAsia"/>
        </w:rPr>
        <w:t>图</w:t>
      </w:r>
      <w:r w:rsidR="005623C2">
        <w:rPr>
          <w:rFonts w:hint="eastAsia"/>
        </w:rPr>
        <w:t>3</w:t>
      </w:r>
      <w:r>
        <w:rPr>
          <w:rFonts w:hint="eastAsia"/>
        </w:rPr>
        <w:t xml:space="preserve"> </w:t>
      </w:r>
      <w:r>
        <w:rPr>
          <w:rFonts w:hint="eastAsia"/>
        </w:rPr>
        <w:t>土壤气相抽提示意图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土壤气体抽提技术是利用真空通过布置在不饱和土壤层中的</w:t>
      </w:r>
      <w:proofErr w:type="gramStart"/>
      <w:r>
        <w:rPr>
          <w:rFonts w:ascii="宋体" w:hAnsi="宋体" w:hint="eastAsia"/>
          <w:sz w:val="28"/>
          <w:szCs w:val="28"/>
        </w:rPr>
        <w:t>提取井向土壤</w:t>
      </w:r>
      <w:proofErr w:type="gramEnd"/>
      <w:r>
        <w:rPr>
          <w:rFonts w:ascii="宋体" w:hAnsi="宋体" w:hint="eastAsia"/>
          <w:sz w:val="28"/>
          <w:szCs w:val="28"/>
        </w:rPr>
        <w:t>中导入气流，气流经过土壤时，挥发性和半挥发性的有机物挥发随空气进入真空井，气流经过之后，土壤得到了修复。</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土壤理化特性对土壤气体抽提修复技术的应用效果有较大的影响，采用原位土壤气体抽提技术的土壤应具有质地均一、渗透能力强、孔隙度大、湿度小和地下水位较深的特点。低渗透性的土壤难于进行修复处理。地下水位太高（地下1</w:t>
      </w:r>
      <w:r>
        <w:rPr>
          <w:rFonts w:hint="eastAsia"/>
          <w:sz w:val="28"/>
          <w:szCs w:val="28"/>
        </w:rPr>
        <w:t>~</w:t>
      </w:r>
      <w:r>
        <w:rPr>
          <w:rFonts w:ascii="宋体" w:hAnsi="宋体" w:hint="eastAsia"/>
          <w:sz w:val="28"/>
          <w:szCs w:val="28"/>
        </w:rPr>
        <w:t>2m）会降低土壤气体抽提的效果。排出的气体需要进行进一步的处理。黏土、腐殖质含量较高或本身极其干燥的土壤，由于其本身对挥发性有机物的吸附性很强，采用原位土壤气体抽提技术时，污染物的去除效率很低。</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综合SVE的应用效果，该技术有成本低、可操作性强、可采用标</w:t>
      </w:r>
      <w:r>
        <w:rPr>
          <w:rFonts w:ascii="宋体" w:hAnsi="宋体" w:hint="eastAsia"/>
          <w:sz w:val="28"/>
          <w:szCs w:val="28"/>
        </w:rPr>
        <w:lastRenderedPageBreak/>
        <w:t>准设备、处理有机物的范围宽、不破坏土壤结构、不引起二次污染等优点。</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选择抽提井的数量及位置是SVE系统设计的主要任务之一。影响半径被认为是SVE设计最重要的参数。</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 xml:space="preserve">⑤空气注入法（air </w:t>
      </w:r>
      <w:proofErr w:type="spellStart"/>
      <w:r>
        <w:rPr>
          <w:rFonts w:ascii="宋体" w:hAnsi="宋体" w:hint="eastAsia"/>
          <w:sz w:val="28"/>
          <w:szCs w:val="28"/>
        </w:rPr>
        <w:t>sparging</w:t>
      </w:r>
      <w:proofErr w:type="spellEnd"/>
      <w:r>
        <w:rPr>
          <w:rFonts w:ascii="宋体" w:hAnsi="宋体" w:hint="eastAsia"/>
          <w:sz w:val="28"/>
          <w:szCs w:val="28"/>
        </w:rPr>
        <w:t>）</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该技术主要是在地下水中注入空气产生气泡，将水中污染物气提赶出到不饱和层中，在配合空气抽取设备（SVE）将气体抽至地面处理。注入空气可以增加地下水及不饱和层中氧气浓度，也可以提升污染物的生物降解作用。相对于传统抽出处理法(pump and treat)，本方法处理废水较少，而相对于不饱和层的土壤气体抽取法(SVE)，本方法则更适用于处理地下水的污染。</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空气注入法主要去除的污染物为挥发性有机物及部分的燃料油，以苯系物（BTEX） 为例，同时具有气提与生物分解作用，以三氯乙烯(</w:t>
      </w:r>
      <w:proofErr w:type="spellStart"/>
      <w:r>
        <w:rPr>
          <w:rFonts w:ascii="宋体" w:hAnsi="宋体" w:hint="eastAsia"/>
          <w:sz w:val="28"/>
          <w:szCs w:val="28"/>
        </w:rPr>
        <w:t>trichloroethene</w:t>
      </w:r>
      <w:proofErr w:type="spellEnd"/>
      <w:r>
        <w:rPr>
          <w:rFonts w:ascii="宋体" w:hAnsi="宋体" w:hint="eastAsia"/>
          <w:sz w:val="28"/>
          <w:szCs w:val="28"/>
        </w:rPr>
        <w:t>, TCE)为例则仅具气提作用，但若在注入空气中加入甲烷，则对TCE 也可能会有共代谢的生物分解作用。由于本法的使用需借助气泡的传送，因此对于均质且高透水性之自由含水层效果最佳。空气注入法在操作不佳的情况下，气体分布不均匀可能会造成污染团扩大，因此使用上需小心。此方法通常需要数年的时间才能达到修复效果。</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空气注入除了本身的气提作用外，还会增加地下水层及</w:t>
      </w:r>
      <w:proofErr w:type="gramStart"/>
      <w:r>
        <w:rPr>
          <w:rFonts w:ascii="宋体" w:hAnsi="宋体" w:hint="eastAsia"/>
          <w:sz w:val="28"/>
          <w:szCs w:val="28"/>
        </w:rPr>
        <w:t>不</w:t>
      </w:r>
      <w:proofErr w:type="gramEnd"/>
      <w:r>
        <w:rPr>
          <w:rFonts w:ascii="宋体" w:hAnsi="宋体" w:hint="eastAsia"/>
          <w:sz w:val="28"/>
          <w:szCs w:val="28"/>
        </w:rPr>
        <w:t>饱和带的氧气浓度，因此可提升微生物对污染物的降解作用。营养盐的加入，则可能产生微生物的共同代谢作用。一般而言，高挥发性污染物的主</w:t>
      </w:r>
      <w:r>
        <w:rPr>
          <w:rFonts w:ascii="宋体" w:hAnsi="宋体" w:hint="eastAsia"/>
          <w:sz w:val="28"/>
          <w:szCs w:val="28"/>
        </w:rPr>
        <w:lastRenderedPageBreak/>
        <w:t>要去除机制是挥发，而低挥发性污染物的主要去除机制则是生物降解。因此在修复初期，</w:t>
      </w:r>
      <w:proofErr w:type="gramStart"/>
      <w:r>
        <w:rPr>
          <w:rFonts w:ascii="宋体" w:hAnsi="宋体" w:hint="eastAsia"/>
          <w:sz w:val="28"/>
          <w:szCs w:val="28"/>
        </w:rPr>
        <w:t>蒸气</w:t>
      </w:r>
      <w:proofErr w:type="gramEnd"/>
      <w:r>
        <w:rPr>
          <w:rFonts w:ascii="宋体" w:hAnsi="宋体" w:hint="eastAsia"/>
          <w:sz w:val="28"/>
          <w:szCs w:val="28"/>
        </w:rPr>
        <w:t>抽除是移除机制主要</w:t>
      </w:r>
      <w:proofErr w:type="gramStart"/>
      <w:r>
        <w:rPr>
          <w:rFonts w:ascii="宋体" w:hAnsi="宋体" w:hint="eastAsia"/>
          <w:sz w:val="28"/>
          <w:szCs w:val="28"/>
        </w:rPr>
        <w:t>之控制</w:t>
      </w:r>
      <w:proofErr w:type="gramEnd"/>
      <w:r>
        <w:rPr>
          <w:rFonts w:ascii="宋体" w:hAnsi="宋体" w:hint="eastAsia"/>
          <w:sz w:val="28"/>
          <w:szCs w:val="28"/>
        </w:rPr>
        <w:t>因子，而生物降解则是修复后期的控制因子。因此，通常由供气气体量的大小可以初步判定属于挥发或是生物分解为主的去除机制，而后者也常称生物注气法（</w:t>
      </w:r>
      <w:proofErr w:type="spellStart"/>
      <w:r>
        <w:rPr>
          <w:rFonts w:ascii="宋体" w:hAnsi="宋体" w:hint="eastAsia"/>
          <w:sz w:val="28"/>
          <w:szCs w:val="28"/>
        </w:rPr>
        <w:t>biosparging</w:t>
      </w:r>
      <w:proofErr w:type="spellEnd"/>
      <w:r>
        <w:rPr>
          <w:rFonts w:ascii="宋体" w:hAnsi="宋体" w:hint="eastAsia"/>
          <w:sz w:val="28"/>
          <w:szCs w:val="28"/>
        </w:rPr>
        <w:t>）。</w:t>
      </w:r>
    </w:p>
    <w:p w:rsidR="008B1B48" w:rsidRDefault="008B1B48" w:rsidP="008B1B48">
      <w:pPr>
        <w:spacing w:line="360" w:lineRule="auto"/>
        <w:ind w:firstLineChars="200" w:firstLine="560"/>
        <w:rPr>
          <w:rFonts w:ascii="宋体" w:hAnsi="宋体" w:hint="eastAsia"/>
          <w:sz w:val="28"/>
          <w:szCs w:val="28"/>
        </w:rPr>
      </w:pPr>
      <w:r>
        <w:rPr>
          <w:rFonts w:ascii="宋体" w:hAnsi="宋体" w:hint="eastAsia"/>
          <w:sz w:val="28"/>
          <w:szCs w:val="28"/>
        </w:rPr>
        <w:t>典型的空气注入系统包含空气注入井或探针、歧管、阀门、监控仪器设备、空气压缩机、真空鼓风机、气/水分离器及空气排放处理设备等，流程示意图如图10-9 所示，其中有关垂直井或水平井可依实际状况选择使用，通常水平井可增加与注入空气之接触表面积，因此较垂直井更能提供</w:t>
      </w:r>
      <w:proofErr w:type="gramStart"/>
      <w:r>
        <w:rPr>
          <w:rFonts w:ascii="宋体" w:hAnsi="宋体" w:hint="eastAsia"/>
          <w:sz w:val="28"/>
          <w:szCs w:val="28"/>
        </w:rPr>
        <w:t>一</w:t>
      </w:r>
      <w:proofErr w:type="gramEnd"/>
      <w:r>
        <w:rPr>
          <w:rFonts w:ascii="宋体" w:hAnsi="宋体" w:hint="eastAsia"/>
          <w:sz w:val="28"/>
          <w:szCs w:val="28"/>
        </w:rPr>
        <w:t>较大的影响区，而安装在100</w:t>
      </w:r>
      <w:r>
        <w:rPr>
          <w:rFonts w:hint="eastAsia"/>
          <w:sz w:val="28"/>
          <w:szCs w:val="28"/>
        </w:rPr>
        <w:t>~</w:t>
      </w:r>
      <w:r>
        <w:rPr>
          <w:rFonts w:ascii="宋体" w:hAnsi="宋体" w:hint="eastAsia"/>
          <w:sz w:val="28"/>
          <w:szCs w:val="28"/>
        </w:rPr>
        <w:t>150 英尺深，水平井亦比垂直井更具成本效益。</w:t>
      </w:r>
    </w:p>
    <w:p w:rsidR="008B1B48" w:rsidRDefault="008B1B48" w:rsidP="008B1B48">
      <w:pPr>
        <w:pStyle w:val="a4"/>
        <w:rPr>
          <w:rFonts w:hint="eastAsia"/>
        </w:rPr>
      </w:pP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r>
        <w:rPr>
          <w:noProof/>
        </w:rPr>
        <w:drawing>
          <wp:anchor distT="0" distB="0" distL="114300" distR="114300" simplePos="0" relativeHeight="251663360" behindDoc="0" locked="0" layoutInCell="1" allowOverlap="1">
            <wp:simplePos x="0" y="0"/>
            <wp:positionH relativeFrom="column">
              <wp:posOffset>333375</wp:posOffset>
            </wp:positionH>
            <wp:positionV relativeFrom="paragraph">
              <wp:posOffset>134620</wp:posOffset>
            </wp:positionV>
            <wp:extent cx="5248275" cy="3476625"/>
            <wp:effectExtent l="19050" t="0" r="9525" b="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5248275" cy="3476625"/>
                    </a:xfrm>
                    <a:prstGeom prst="rect">
                      <a:avLst/>
                    </a:prstGeom>
                    <a:noFill/>
                    <a:ln w="9525">
                      <a:noFill/>
                      <a:miter lim="800000"/>
                      <a:headEnd/>
                      <a:tailEnd/>
                    </a:ln>
                  </pic:spPr>
                </pic:pic>
              </a:graphicData>
            </a:graphic>
          </wp:anchor>
        </w:drawing>
      </w:r>
    </w:p>
    <w:p w:rsidR="008B1B48" w:rsidRDefault="008B1B48" w:rsidP="008B1B48">
      <w:pPr>
        <w:ind w:firstLine="560"/>
        <w:rPr>
          <w:rFonts w:ascii="仿宋_GB2312" w:hint="eastAsia"/>
          <w:szCs w:val="28"/>
        </w:rPr>
      </w:pPr>
    </w:p>
    <w:p w:rsidR="008B1B48" w:rsidRDefault="008B1B48" w:rsidP="008B1B48">
      <w:pPr>
        <w:ind w:firstLine="560"/>
        <w:rPr>
          <w:rFonts w:ascii="仿宋_GB2312" w:hint="eastAsia"/>
          <w:szCs w:val="28"/>
        </w:rPr>
      </w:pPr>
    </w:p>
    <w:p w:rsidR="008B1B48" w:rsidRDefault="008B1B48" w:rsidP="008B1B48">
      <w:pPr>
        <w:ind w:firstLine="560"/>
        <w:rPr>
          <w:rFonts w:ascii="仿宋_GB2312"/>
          <w:szCs w:val="28"/>
        </w:rPr>
      </w:pPr>
      <w:r>
        <w:rPr>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49530</wp:posOffset>
            </wp:positionV>
            <wp:extent cx="5200650" cy="2562225"/>
            <wp:effectExtent l="1905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5200650" cy="2562225"/>
                    </a:xfrm>
                    <a:prstGeom prst="rect">
                      <a:avLst/>
                    </a:prstGeom>
                    <a:noFill/>
                    <a:ln w="9525">
                      <a:noFill/>
                      <a:miter lim="800000"/>
                      <a:headEnd/>
                      <a:tailEnd/>
                    </a:ln>
                  </pic:spPr>
                </pic:pic>
              </a:graphicData>
            </a:graphic>
          </wp:anchor>
        </w:drawing>
      </w:r>
    </w:p>
    <w:p w:rsidR="008B1B48" w:rsidRDefault="008B1B48" w:rsidP="008B1B48">
      <w:pPr>
        <w:ind w:firstLine="560"/>
        <w:rPr>
          <w:szCs w:val="28"/>
        </w:rPr>
      </w:pPr>
    </w:p>
    <w:p w:rsidR="008B1B48" w:rsidRDefault="008B1B48" w:rsidP="008B1B48">
      <w:pPr>
        <w:ind w:firstLine="560"/>
        <w:rPr>
          <w:szCs w:val="28"/>
        </w:rPr>
      </w:pPr>
    </w:p>
    <w:p w:rsidR="008B1B48" w:rsidRDefault="008B1B48" w:rsidP="008B1B48">
      <w:pPr>
        <w:ind w:firstLine="560"/>
        <w:rPr>
          <w:szCs w:val="28"/>
        </w:rPr>
      </w:pPr>
    </w:p>
    <w:p w:rsidR="008B1B48" w:rsidRDefault="008B1B48" w:rsidP="008B1B48">
      <w:pPr>
        <w:pStyle w:val="a3"/>
      </w:pPr>
      <w:r>
        <w:rPr>
          <w:rFonts w:hint="eastAsia"/>
        </w:rPr>
        <w:t>图</w:t>
      </w:r>
      <w:r>
        <w:rPr>
          <w:rFonts w:hint="eastAsia"/>
        </w:rPr>
        <w:t xml:space="preserve">9.1-4 </w:t>
      </w:r>
      <w:r>
        <w:rPr>
          <w:rFonts w:hint="eastAsia"/>
        </w:rPr>
        <w:t>垂直空气注入</w:t>
      </w:r>
      <w:r>
        <w:rPr>
          <w:rFonts w:hint="eastAsia"/>
        </w:rPr>
        <w:t>/</w:t>
      </w:r>
      <w:r>
        <w:rPr>
          <w:rFonts w:hint="eastAsia"/>
        </w:rPr>
        <w:t>土壤抽</w:t>
      </w:r>
      <w:proofErr w:type="gramStart"/>
      <w:r>
        <w:rPr>
          <w:rFonts w:hint="eastAsia"/>
        </w:rPr>
        <w:t>除系统</w:t>
      </w:r>
      <w:proofErr w:type="gramEnd"/>
      <w:r>
        <w:rPr>
          <w:rFonts w:hint="eastAsia"/>
        </w:rPr>
        <w:t>流程图</w:t>
      </w:r>
    </w:p>
    <w:p w:rsidR="008B1B48" w:rsidRDefault="008B1B48" w:rsidP="008B1B48">
      <w:pPr>
        <w:ind w:firstLine="560"/>
        <w:jc w:val="center"/>
        <w:rPr>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pStyle w:val="a3"/>
      </w:pPr>
      <w:r>
        <w:rPr>
          <w:rFonts w:hint="eastAsia"/>
        </w:rPr>
        <w:t>图</w:t>
      </w:r>
      <w:r w:rsidR="005623C2">
        <w:rPr>
          <w:rFonts w:hint="eastAsia"/>
        </w:rPr>
        <w:t>4</w:t>
      </w:r>
      <w:r>
        <w:rPr>
          <w:rFonts w:hint="eastAsia"/>
        </w:rPr>
        <w:t xml:space="preserve"> </w:t>
      </w:r>
      <w:r>
        <w:rPr>
          <w:rFonts w:hint="eastAsia"/>
        </w:rPr>
        <w:t>水平空气注入</w:t>
      </w:r>
      <w:r>
        <w:rPr>
          <w:rFonts w:hint="eastAsia"/>
        </w:rPr>
        <w:t>/</w:t>
      </w:r>
      <w:r>
        <w:rPr>
          <w:rFonts w:hint="eastAsia"/>
        </w:rPr>
        <w:t>土壤抽</w:t>
      </w:r>
      <w:proofErr w:type="gramStart"/>
      <w:r>
        <w:rPr>
          <w:rFonts w:hint="eastAsia"/>
        </w:rPr>
        <w:t>除系统</w:t>
      </w:r>
      <w:proofErr w:type="gramEnd"/>
      <w:r>
        <w:rPr>
          <w:rFonts w:hint="eastAsia"/>
        </w:rPr>
        <w:t>流程图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⑥渗透性反应墙PRB</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可渗透反应墙PRB(Permeable Reactive Barrier)，是目前在欧美等发达国家新兴起来的用于原位去除污染水中污染组分的方法。PRB 是一个填充有活性反应介质材料的被动反应区，当污染水通过该反应区</w:t>
      </w:r>
      <w:proofErr w:type="gramStart"/>
      <w:r>
        <w:rPr>
          <w:rFonts w:ascii="宋体" w:hAnsi="宋体" w:hint="eastAsia"/>
          <w:sz w:val="28"/>
          <w:szCs w:val="28"/>
        </w:rPr>
        <w:t>时污染</w:t>
      </w:r>
      <w:proofErr w:type="gramEnd"/>
      <w:r>
        <w:rPr>
          <w:rFonts w:ascii="宋体" w:hAnsi="宋体" w:hint="eastAsia"/>
          <w:sz w:val="28"/>
          <w:szCs w:val="28"/>
        </w:rPr>
        <w:t>物质被降解或固定。可渗透反应墙可以设置在地下水污染源的下游，防止污染羽状体扩散，随着污染地下水流过此反应设施，污染物被清除，在其下游出现净化后的清洁水源。</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在浅层土壤与地下水，构筑一个具有渗透性、含有反应材料的墙体，污染水体经过墙体时其中的污染物与墙内反应材料发生物理、化学反应而被净化除去。反应材料有：零价铁(ZVI)、有机废弃物、粘土矿物、磷酸盐等，要根据污染物选择具体材料。</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PRB 的去除机理可以是生物的，也可以是非生物，它包括吸附、沉淀、氧化-还原、固化和物理转化。常用于含氯有机试剂(TCE)、As、重金属等。实践证明对TCE等有机试剂污染的处理十分有效。</w:t>
      </w:r>
    </w:p>
    <w:p w:rsidR="008B1B48" w:rsidRDefault="008B1B48" w:rsidP="008B1B48">
      <w:pPr>
        <w:ind w:firstLine="560"/>
        <w:jc w:val="center"/>
      </w:pPr>
    </w:p>
    <w:p w:rsidR="008B1B48" w:rsidRDefault="008B1B48" w:rsidP="008B1B48">
      <w:pPr>
        <w:ind w:firstLine="560"/>
        <w:rPr>
          <w:rFonts w:hint="eastAsia"/>
        </w:rPr>
      </w:pPr>
    </w:p>
    <w:p w:rsidR="008B1B48" w:rsidRDefault="008B1B48" w:rsidP="008B1B48">
      <w:pPr>
        <w:ind w:firstLine="560"/>
        <w:rPr>
          <w:rFonts w:hint="eastAsia"/>
        </w:rPr>
      </w:pPr>
      <w:r>
        <w:rPr>
          <w:noProof/>
        </w:rPr>
        <w:drawing>
          <wp:anchor distT="0" distB="0" distL="114300" distR="114300" simplePos="0" relativeHeight="251664384" behindDoc="0" locked="0" layoutInCell="1" allowOverlap="1">
            <wp:simplePos x="0" y="0"/>
            <wp:positionH relativeFrom="column">
              <wp:posOffset>1266825</wp:posOffset>
            </wp:positionH>
            <wp:positionV relativeFrom="paragraph">
              <wp:posOffset>99060</wp:posOffset>
            </wp:positionV>
            <wp:extent cx="3181350" cy="2171700"/>
            <wp:effectExtent l="1905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3181350" cy="2171700"/>
                    </a:xfrm>
                    <a:prstGeom prst="rect">
                      <a:avLst/>
                    </a:prstGeom>
                    <a:noFill/>
                    <a:ln w="9525">
                      <a:noFill/>
                      <a:miter lim="800000"/>
                      <a:headEnd/>
                      <a:tailEnd/>
                    </a:ln>
                  </pic:spPr>
                </pic:pic>
              </a:graphicData>
            </a:graphic>
          </wp:anchor>
        </w:drawing>
      </w: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ind w:firstLine="560"/>
        <w:rPr>
          <w:rFonts w:hint="eastAsia"/>
        </w:rPr>
      </w:pPr>
    </w:p>
    <w:p w:rsidR="008B1B48" w:rsidRDefault="008B1B48" w:rsidP="008B1B48">
      <w:pPr>
        <w:pStyle w:val="a3"/>
      </w:pPr>
      <w:r>
        <w:rPr>
          <w:rFonts w:hint="eastAsia"/>
        </w:rPr>
        <w:lastRenderedPageBreak/>
        <w:t>图</w:t>
      </w:r>
      <w:r w:rsidR="005623C2">
        <w:rPr>
          <w:rFonts w:hint="eastAsia"/>
        </w:rPr>
        <w:t>5</w:t>
      </w:r>
      <w:r>
        <w:rPr>
          <w:rFonts w:hint="eastAsia"/>
        </w:rPr>
        <w:t xml:space="preserve"> </w:t>
      </w:r>
      <w:r>
        <w:rPr>
          <w:rFonts w:hint="eastAsia"/>
        </w:rPr>
        <w:t>渗透性反应墙</w:t>
      </w:r>
      <w:r>
        <w:t>PRB</w:t>
      </w:r>
      <w:r>
        <w:rPr>
          <w:rFonts w:hint="eastAsia"/>
        </w:rPr>
        <w:t>示意图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尽管目前已开发出众多的污染场地修复技术，但新型的修复技术仍时有报道，然而，由于受场地本身特性及经济成本的约束，真正能在实际工程中应用的技术为数不多。</w:t>
      </w:r>
    </w:p>
    <w:p w:rsidR="008B1B48" w:rsidRDefault="008B1B48" w:rsidP="008B1B48">
      <w:pPr>
        <w:spacing w:line="360" w:lineRule="auto"/>
        <w:ind w:firstLineChars="200" w:firstLine="560"/>
        <w:rPr>
          <w:rFonts w:ascii="宋体" w:hAnsi="宋体"/>
          <w:sz w:val="28"/>
          <w:szCs w:val="28"/>
        </w:rPr>
      </w:pPr>
      <w:bookmarkStart w:id="0" w:name="OLE_LINK5"/>
      <w:bookmarkStart w:id="1" w:name="OLE_LINK6"/>
      <w:r>
        <w:rPr>
          <w:rFonts w:ascii="宋体" w:hAnsi="宋体" w:hint="eastAsia"/>
          <w:sz w:val="28"/>
          <w:szCs w:val="28"/>
        </w:rPr>
        <w:t>⑦原位玻璃化</w:t>
      </w:r>
      <w:bookmarkEnd w:id="0"/>
      <w:bookmarkEnd w:id="1"/>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通过向污染土壤插入电极，对污染土壤的固体组分给予1600-2000℃的高温处理，使有机污染物和一部分无机化合物（如硝酸盐、硫酸盐和碳酸盐等）得以挥发或热解，从而从土壤中去除。其中，有机污染物热解产生的水分和热解产物由气体收集系统进行进一步处理，熔化的污染土壤冷却后形成化学惰性的、非扩散的整块坚硬玻璃体，有害无机离子得到固化。</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（2）生物修复技术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生物修复技术是指综合运用现代生物技术，使土壤中的有害污染物得以去除，土壤质量得以提高或改善的过程。土壤生物修复技术，包括植物修复、微生物修复、生物联合修复等技术。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①原位植物修复技术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利用植物对某种污染物具有特殊的吸收富集能力，将环境中的污染物转移到植物体内或将污染物降解利用，对植物进行回收处理，达到去除污染与修复生态的目的。根据其作用过程和机理，重金属污染土壤的植物修复技术可分为植物固定、植物挥发、植物吸收、植物降解、根际生物降解修复五种类型。这种技术的应用关键在于筛选具有高产和高去污能力的植物，摸清植物对土壤条件和生态环境的适应性。</w:t>
      </w:r>
      <w:r>
        <w:rPr>
          <w:rFonts w:ascii="宋体" w:hAnsi="宋体" w:hint="eastAsia"/>
          <w:sz w:val="28"/>
          <w:szCs w:val="28"/>
        </w:rPr>
        <w:lastRenderedPageBreak/>
        <w:t>利用植物与微生物相结合的植物辅助生物修复技术来降解土壤中的有机污染物是近年来出现的新技术，如通过根际微生物可加速植物吸收某些矿物质如Fe 和</w:t>
      </w:r>
      <w:proofErr w:type="spellStart"/>
      <w:r>
        <w:rPr>
          <w:rFonts w:ascii="宋体" w:hAnsi="宋体" w:hint="eastAsia"/>
          <w:sz w:val="28"/>
          <w:szCs w:val="28"/>
        </w:rPr>
        <w:t>Mn</w:t>
      </w:r>
      <w:proofErr w:type="spellEnd"/>
      <w:r>
        <w:rPr>
          <w:rFonts w:ascii="宋体" w:hAnsi="宋体" w:hint="eastAsia"/>
          <w:sz w:val="28"/>
          <w:szCs w:val="28"/>
        </w:rPr>
        <w:t>。根际内以微生物为媒介的腐殖化作用是提高金属植物可利用性的原因。</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②微生物修复技术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微生物将污染物降解或转移成较低毒性或无毒性的形态，以降低或排除环境污染物。可在场地原位进行修复、较具经济性、对场地的扰动较小、可分解污染物而非做相的转移、无需负</w:t>
      </w:r>
      <w:proofErr w:type="gramStart"/>
      <w:r>
        <w:rPr>
          <w:rFonts w:ascii="宋体" w:hAnsi="宋体" w:hint="eastAsia"/>
          <w:sz w:val="28"/>
          <w:szCs w:val="28"/>
        </w:rPr>
        <w:t>清运受</w:t>
      </w:r>
      <w:proofErr w:type="gramEnd"/>
      <w:r>
        <w:rPr>
          <w:rFonts w:ascii="宋体" w:hAnsi="宋体" w:hint="eastAsia"/>
          <w:sz w:val="28"/>
          <w:szCs w:val="28"/>
        </w:rPr>
        <w:t>污染介质之责任、大众接受度较高并且可与其他物理或化学的处理技术结合。</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③原位生物通风</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生物通风技术将空气或氧气输送到地下环境以促进生物的好氧降解作用，从而达到降解挥发性有机物的目的。生物通风法是一种强迫氧化的生物降解方法。即在受污染土壤中强制通入空气，将易挥发的有机物一起抽出，然后用排入气体处理装置进行后续处理或直接排入大气中。此法常用于地下水层上部透气性较好而被挥发性有机物污染土壤的修复，但也适用于结构疏松多孔的土壤，以利于微生物的生长繁殖。</w:t>
      </w:r>
    </w:p>
    <w:p w:rsidR="008B1B48" w:rsidRDefault="008B1B48" w:rsidP="008B1B48">
      <w:pPr>
        <w:spacing w:line="360" w:lineRule="auto"/>
        <w:ind w:firstLineChars="200" w:firstLine="560"/>
        <w:rPr>
          <w:rFonts w:ascii="宋体" w:hAnsi="宋体" w:hint="eastAsia"/>
          <w:sz w:val="28"/>
          <w:szCs w:val="28"/>
        </w:rPr>
      </w:pPr>
      <w:r>
        <w:rPr>
          <w:rFonts w:ascii="宋体" w:hAnsi="宋体" w:hint="eastAsia"/>
          <w:sz w:val="28"/>
          <w:szCs w:val="28"/>
        </w:rPr>
        <w:t>生物通风法使用的基本设施包括：鼓风机、真空泵、抽提井、注入井和供营养渗透至地下的管道等。设备联系见示意图10-11。</w:t>
      </w:r>
    </w:p>
    <w:p w:rsidR="008B1B48" w:rsidRDefault="008B1B48" w:rsidP="008B1B48">
      <w:pPr>
        <w:spacing w:line="360" w:lineRule="auto"/>
        <w:ind w:firstLineChars="200" w:firstLine="560"/>
        <w:rPr>
          <w:rFonts w:ascii="宋体" w:hAnsi="宋体" w:hint="eastAsia"/>
          <w:sz w:val="28"/>
          <w:szCs w:val="28"/>
        </w:rPr>
      </w:pPr>
    </w:p>
    <w:p w:rsidR="008B1B48" w:rsidRDefault="008B1B48" w:rsidP="008B1B48">
      <w:pPr>
        <w:spacing w:line="360" w:lineRule="auto"/>
        <w:ind w:firstLineChars="200" w:firstLine="560"/>
        <w:rPr>
          <w:rFonts w:ascii="宋体" w:hAnsi="宋体" w:hint="eastAsia"/>
          <w:sz w:val="28"/>
          <w:szCs w:val="28"/>
        </w:rPr>
      </w:pPr>
    </w:p>
    <w:p w:rsidR="008B1B48" w:rsidRDefault="008B1B48" w:rsidP="008B1B48">
      <w:pPr>
        <w:spacing w:line="360" w:lineRule="auto"/>
        <w:ind w:firstLineChars="200" w:firstLine="560"/>
        <w:rPr>
          <w:rFonts w:ascii="宋体" w:hAnsi="宋体" w:hint="eastAsia"/>
          <w:sz w:val="28"/>
          <w:szCs w:val="28"/>
        </w:rPr>
      </w:pPr>
    </w:p>
    <w:p w:rsidR="008B1B48" w:rsidRDefault="008B1B48" w:rsidP="008B1B48">
      <w:pPr>
        <w:spacing w:line="360" w:lineRule="auto"/>
        <w:ind w:firstLineChars="200" w:firstLine="560"/>
        <w:rPr>
          <w:rFonts w:ascii="宋体" w:hAnsi="宋体" w:hint="eastAsia"/>
          <w:sz w:val="28"/>
          <w:szCs w:val="28"/>
        </w:rPr>
      </w:pPr>
    </w:p>
    <w:p w:rsidR="008B1B48" w:rsidRDefault="008B1B48" w:rsidP="008B1B48">
      <w:pPr>
        <w:pStyle w:val="a4"/>
        <w:rPr>
          <w:rFonts w:hint="eastAsia"/>
        </w:rPr>
      </w:pPr>
      <w:r>
        <w:rPr>
          <w:noProof/>
        </w:rPr>
        <w:drawing>
          <wp:anchor distT="0" distB="0" distL="114300" distR="114300" simplePos="0" relativeHeight="251665408" behindDoc="0" locked="0" layoutInCell="1" allowOverlap="1">
            <wp:simplePos x="0" y="0"/>
            <wp:positionH relativeFrom="column">
              <wp:posOffset>933450</wp:posOffset>
            </wp:positionH>
            <wp:positionV relativeFrom="paragraph">
              <wp:posOffset>30480</wp:posOffset>
            </wp:positionV>
            <wp:extent cx="4238625" cy="2447925"/>
            <wp:effectExtent l="19050" t="0" r="9525"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t="2612" b="13622"/>
                    <a:stretch>
                      <a:fillRect/>
                    </a:stretch>
                  </pic:blipFill>
                  <pic:spPr bwMode="auto">
                    <a:xfrm>
                      <a:off x="0" y="0"/>
                      <a:ext cx="4238625" cy="2447925"/>
                    </a:xfrm>
                    <a:prstGeom prst="rect">
                      <a:avLst/>
                    </a:prstGeom>
                    <a:noFill/>
                    <a:ln w="9525">
                      <a:noFill/>
                      <a:miter lim="800000"/>
                      <a:headEnd/>
                      <a:tailEnd/>
                    </a:ln>
                  </pic:spPr>
                </pic:pic>
              </a:graphicData>
            </a:graphic>
          </wp:anchor>
        </w:drawing>
      </w:r>
    </w:p>
    <w:p w:rsidR="008B1B48" w:rsidRDefault="008B1B48" w:rsidP="008B1B48">
      <w:pPr>
        <w:pStyle w:val="a4"/>
        <w:rPr>
          <w:rFonts w:hint="eastAsia"/>
        </w:rPr>
      </w:pPr>
    </w:p>
    <w:p w:rsidR="008B1B48" w:rsidRDefault="008B1B48" w:rsidP="008B1B48">
      <w:pPr>
        <w:pStyle w:val="a4"/>
      </w:pPr>
    </w:p>
    <w:p w:rsidR="008B1B48" w:rsidRDefault="008B1B48" w:rsidP="008B1B48">
      <w:pPr>
        <w:keepNext/>
        <w:ind w:firstLine="560"/>
        <w:jc w:val="cente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ind w:firstLine="560"/>
        <w:jc w:val="center"/>
        <w:rPr>
          <w:rFonts w:ascii="仿宋_GB2312" w:hint="eastAsia"/>
          <w:szCs w:val="28"/>
        </w:rPr>
      </w:pPr>
    </w:p>
    <w:p w:rsidR="008B1B48" w:rsidRDefault="008B1B48" w:rsidP="008B1B48">
      <w:pPr>
        <w:rPr>
          <w:rFonts w:ascii="仿宋_GB2312" w:hint="eastAsia"/>
          <w:szCs w:val="28"/>
        </w:rPr>
      </w:pPr>
    </w:p>
    <w:p w:rsidR="008B1B48" w:rsidRDefault="008B1B48" w:rsidP="008B1B48">
      <w:pPr>
        <w:pStyle w:val="a3"/>
      </w:pPr>
      <w:r>
        <w:rPr>
          <w:rFonts w:hint="eastAsia"/>
        </w:rPr>
        <w:t>图</w:t>
      </w:r>
      <w:r w:rsidR="005623C2">
        <w:rPr>
          <w:rFonts w:hint="eastAsia"/>
        </w:rPr>
        <w:t>6</w:t>
      </w:r>
      <w:r>
        <w:rPr>
          <w:rFonts w:hint="eastAsia"/>
        </w:rPr>
        <w:t xml:space="preserve"> </w:t>
      </w:r>
      <w:r>
        <w:rPr>
          <w:rFonts w:hint="eastAsia"/>
        </w:rPr>
        <w:t>生物通风修复系统示意图</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生物通风法应用范围较宽，具有不涉及土壤挖运，不破坏土壤结构，对地下水的扰动小，且设计、安装简便易行，相对于其他处理技术费用较低。</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（3）联合修复技术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协同两种或两种以上修复方法，形成联合修复技术，不仅可以提高污染土壤的修复速率与效率，而且可以克服单项修复技术的局限性，实现对多种污染物复合/混合污染土壤的修复，已成为土壤修复技术中的重要研究内容。联合修复技术主要包括：微生物/动物-植物联合修复技术、化学/物化-生物联合修复技术、物理-化学联合修复技术等。在中国，因污染情况的复杂，越来越多的场地需要使用联合修复技术处理超标污染物。</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①微生物/动物-植物联合修复技术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微生物(细菌、真菌)-植物、动物(蚯蚓)-植物联合修复是土壤生</w:t>
      </w:r>
      <w:r>
        <w:rPr>
          <w:rFonts w:ascii="宋体" w:hAnsi="宋体" w:hint="eastAsia"/>
          <w:sz w:val="28"/>
          <w:szCs w:val="28"/>
        </w:rPr>
        <w:lastRenderedPageBreak/>
        <w:t>物修复技术研究的新内容。筛选有较强降解能力的菌根真菌和适宜的共生植物是菌根生物修复的关键。种植紫花苜蓿可以大幅度降低土壤中多氯联苯浓度。根瘤菌和菌根真菌双接种能强化紫花苜蓿对多氯联苯的修复作用。利用能促进植物生长的根际细菌或真菌,发展植物-降解菌群协同修复、动物-微生物协同修复及其根际强化技术,促进有机污染物的吸收、代谢和降解将是生物修复技术新的研究方向。</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②化学/物化-生物联合修复技术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化学淋洗-生物联合修复是基于化学淋溶剂作用，通过增加污染物的生物可利用性而提高生物修复效率。利用有机络合剂的配位溶出,增加土壤溶液中重金属浓度，提高植物有效性,从而实现强化诱导植物吸取修复。电动力学-微生物修复技术可以克服单独的电动技术或生物修复技术的缺点，在不破坏土壤质量的前提下，加快土壤修复进程。</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③物理-化学联合修复技术</w:t>
      </w:r>
    </w:p>
    <w:p w:rsidR="008B1B48" w:rsidRDefault="008B1B48" w:rsidP="008B1B48">
      <w:pPr>
        <w:spacing w:line="360" w:lineRule="auto"/>
        <w:ind w:firstLineChars="200" w:firstLine="560"/>
        <w:rPr>
          <w:rFonts w:ascii="宋体" w:hAnsi="宋体"/>
          <w:sz w:val="28"/>
          <w:szCs w:val="28"/>
        </w:rPr>
      </w:pPr>
      <w:r>
        <w:rPr>
          <w:rFonts w:ascii="宋体" w:hAnsi="宋体" w:hint="eastAsia"/>
          <w:sz w:val="28"/>
          <w:szCs w:val="28"/>
        </w:rPr>
        <w:t>土壤物理-化学联合修复技术是适用于污染土壤异位处理的修复技术。溶剂萃取-光降解联合修复技术是利用有机溶剂或表面活性剂提取有机污染物后进行光解的一项新的物理-化学联合修复技术。例如，可以利用环己烷和乙醇将污染土壤中的多环芳烃提取出来后进行光催化降解。</w:t>
      </w:r>
    </w:p>
    <w:p w:rsidR="008B1B48" w:rsidRPr="008B1B48" w:rsidRDefault="008B1B48" w:rsidP="008B1B48"/>
    <w:sectPr w:rsidR="008B1B48" w:rsidRPr="008B1B48" w:rsidSect="005C4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1B48"/>
    <w:rsid w:val="005623C2"/>
    <w:rsid w:val="005C4256"/>
    <w:rsid w:val="007C108A"/>
    <w:rsid w:val="008B1B48"/>
    <w:rsid w:val="009807A5"/>
    <w:rsid w:val="00C83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头 Char"/>
    <w:basedOn w:val="a0"/>
    <w:link w:val="a3"/>
    <w:rsid w:val="008B1B48"/>
    <w:rPr>
      <w:rFonts w:eastAsia="仿宋_GB2312"/>
      <w:sz w:val="28"/>
      <w:szCs w:val="28"/>
    </w:rPr>
  </w:style>
  <w:style w:type="character" w:customStyle="1" w:styleId="Char0">
    <w:name w:val="正文新 Char"/>
    <w:basedOn w:val="a0"/>
    <w:link w:val="a4"/>
    <w:rsid w:val="008B1B48"/>
    <w:rPr>
      <w:rFonts w:eastAsia="仿宋_GB2312"/>
      <w:sz w:val="28"/>
      <w:szCs w:val="28"/>
    </w:rPr>
  </w:style>
  <w:style w:type="paragraph" w:customStyle="1" w:styleId="a3">
    <w:name w:val="表格头"/>
    <w:basedOn w:val="a"/>
    <w:link w:val="Char"/>
    <w:qFormat/>
    <w:rsid w:val="008B1B48"/>
    <w:pPr>
      <w:spacing w:line="500" w:lineRule="exact"/>
      <w:jc w:val="center"/>
    </w:pPr>
    <w:rPr>
      <w:rFonts w:eastAsia="仿宋_GB2312"/>
      <w:sz w:val="28"/>
      <w:szCs w:val="28"/>
    </w:rPr>
  </w:style>
  <w:style w:type="paragraph" w:customStyle="1" w:styleId="a4">
    <w:name w:val="正文新"/>
    <w:basedOn w:val="a"/>
    <w:link w:val="Char0"/>
    <w:qFormat/>
    <w:rsid w:val="008B1B48"/>
    <w:pPr>
      <w:spacing w:line="500" w:lineRule="exact"/>
      <w:ind w:firstLineChars="200" w:firstLine="560"/>
    </w:pPr>
    <w:rPr>
      <w:rFonts w:eastAsia="仿宋_GB2312"/>
      <w:sz w:val="28"/>
      <w:szCs w:val="28"/>
    </w:rPr>
  </w:style>
  <w:style w:type="paragraph" w:customStyle="1" w:styleId="a5">
    <w:name w:val="图片格式"/>
    <w:basedOn w:val="a"/>
    <w:qFormat/>
    <w:rsid w:val="008B1B48"/>
    <w:pPr>
      <w:autoSpaceDE w:val="0"/>
      <w:autoSpaceDN w:val="0"/>
      <w:adjustRightInd w:val="0"/>
      <w:spacing w:line="360" w:lineRule="auto"/>
      <w:jc w:val="center"/>
    </w:pPr>
    <w:rPr>
      <w:rFonts w:ascii="Times New Roman" w:eastAsia="宋体" w:hAnsi="Times New Roman" w:cs="Times New Roman"/>
      <w:color w:val="000000"/>
      <w:kern w:val="0"/>
      <w:sz w:val="24"/>
      <w:szCs w:val="24"/>
    </w:rPr>
  </w:style>
  <w:style w:type="paragraph" w:styleId="a6">
    <w:name w:val="Balloon Text"/>
    <w:basedOn w:val="a"/>
    <w:link w:val="Char1"/>
    <w:uiPriority w:val="99"/>
    <w:semiHidden/>
    <w:unhideWhenUsed/>
    <w:rsid w:val="008B1B48"/>
    <w:rPr>
      <w:sz w:val="18"/>
      <w:szCs w:val="18"/>
    </w:rPr>
  </w:style>
  <w:style w:type="character" w:customStyle="1" w:styleId="Char1">
    <w:name w:val="批注框文本 Char"/>
    <w:basedOn w:val="a0"/>
    <w:link w:val="a6"/>
    <w:uiPriority w:val="99"/>
    <w:semiHidden/>
    <w:rsid w:val="008B1B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801</Words>
  <Characters>4567</Characters>
  <Application>Microsoft Office Word</Application>
  <DocSecurity>0</DocSecurity>
  <Lines>38</Lines>
  <Paragraphs>10</Paragraphs>
  <ScaleCrop>false</ScaleCrop>
  <Company>Sky123.Org</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2015-07-27T02:27:00Z</dcterms:created>
  <dcterms:modified xsi:type="dcterms:W3CDTF">2015-07-27T02:30:00Z</dcterms:modified>
</cp:coreProperties>
</file>