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00" w:lineRule="exact"/>
        <w:rPr>
          <w:rFonts w:ascii="宋体" w:cs="宋体"/>
          <w:b/>
          <w:bCs/>
          <w:spacing w:val="100"/>
          <w:kern w:val="0"/>
          <w:sz w:val="70"/>
          <w:szCs w:val="70"/>
        </w:rPr>
      </w:pPr>
      <w:r>
        <w:rPr>
          <w:rFonts w:hint="eastAsia" w:ascii="宋体" w:hAnsi="宋体" w:cs="宋体"/>
          <w:b/>
          <w:bCs/>
          <w:spacing w:val="100"/>
          <w:kern w:val="0"/>
          <w:sz w:val="70"/>
          <w:szCs w:val="70"/>
        </w:rPr>
        <w:t>苏州市环境保护局</w:t>
      </w:r>
    </w:p>
    <w:p>
      <w:pPr>
        <w:widowControl/>
        <w:wordWrap w:val="0"/>
        <w:spacing w:line="900" w:lineRule="exact"/>
        <w:jc w:val="right"/>
        <w:rPr>
          <w:rFonts w:ascii="宋体" w:cs="宋体"/>
          <w:b/>
          <w:bCs/>
          <w:kern w:val="0"/>
          <w:sz w:val="70"/>
          <w:szCs w:val="70"/>
        </w:rPr>
      </w:pPr>
      <w:r>
        <w:rPr>
          <w:rFonts w:ascii="宋体" w:hAnsi="宋体" w:cs="宋体"/>
          <w:b/>
          <w:bCs/>
          <w:kern w:val="0"/>
          <w:sz w:val="70"/>
          <w:szCs w:val="70"/>
        </w:rPr>
        <w:t xml:space="preserve">   </w:t>
      </w:r>
      <w:r>
        <w:rPr>
          <w:rFonts w:hint="eastAsia" w:ascii="宋体" w:hAnsi="宋体" w:cs="宋体"/>
          <w:b/>
          <w:bCs/>
          <w:kern w:val="0"/>
          <w:sz w:val="70"/>
          <w:szCs w:val="70"/>
        </w:rPr>
        <w:t>文件</w:t>
      </w:r>
    </w:p>
    <w:p>
      <w:pPr>
        <w:widowControl/>
        <w:spacing w:line="900" w:lineRule="exact"/>
        <w:rPr>
          <w:rFonts w:ascii="宋体" w:cs="宋体"/>
          <w:b/>
          <w:bCs/>
          <w:spacing w:val="100"/>
          <w:kern w:val="0"/>
          <w:sz w:val="70"/>
          <w:szCs w:val="70"/>
        </w:rPr>
      </w:pPr>
      <w:r>
        <w:rPr>
          <w:rFonts w:hint="eastAsia" w:ascii="宋体" w:hAnsi="宋体" w:cs="宋体"/>
          <w:b/>
          <w:bCs/>
          <w:spacing w:val="100"/>
          <w:kern w:val="0"/>
          <w:sz w:val="70"/>
          <w:szCs w:val="70"/>
        </w:rPr>
        <w:t>苏州市</w:t>
      </w:r>
      <w:r>
        <w:rPr>
          <w:rFonts w:hint="eastAsia" w:ascii="宋体" w:hAnsi="宋体" w:cs="宋体"/>
          <w:b/>
          <w:bCs/>
          <w:spacing w:val="100"/>
          <w:kern w:val="0"/>
          <w:sz w:val="70"/>
          <w:szCs w:val="70"/>
          <w:lang w:eastAsia="zh-CN"/>
        </w:rPr>
        <w:t>农业委员会</w:t>
      </w:r>
    </w:p>
    <w:p>
      <w:pPr>
        <w:spacing w:line="100" w:lineRule="exact"/>
        <w:rPr>
          <w:rFonts w:ascii="方正大标宋简体" w:eastAsia="方正大标宋简体"/>
          <w:b/>
          <w:bCs/>
          <w:sz w:val="36"/>
        </w:rPr>
      </w:pPr>
    </w:p>
    <w:p>
      <w:pPr>
        <w:spacing w:line="300" w:lineRule="exact"/>
        <w:rPr>
          <w:rFonts w:ascii="方正仿宋简体" w:hAnsi="方正仿宋_GBK" w:eastAsia="方正仿宋简体" w:cs="方正仿宋_GBK"/>
          <w:sz w:val="32"/>
        </w:rPr>
      </w:pPr>
    </w:p>
    <w:p>
      <w:pPr>
        <w:spacing w:line="300" w:lineRule="exact"/>
        <w:rPr>
          <w:rFonts w:ascii="方正仿宋简体" w:hAnsi="方正仿宋_GBK" w:eastAsia="方正仿宋简体" w:cs="方正仿宋_GBK"/>
          <w:sz w:val="32"/>
        </w:rPr>
      </w:pPr>
    </w:p>
    <w:p>
      <w:pPr>
        <w:spacing w:line="540" w:lineRule="exact"/>
        <w:jc w:val="center"/>
        <w:rPr>
          <w:rFonts w:eastAsia="方正仿宋简体"/>
          <w:sz w:val="32"/>
          <w:szCs w:val="32"/>
          <w:lang w:val="zh-CN"/>
        </w:rPr>
      </w:pPr>
      <w:r>
        <w:rPr>
          <w:rFonts w:hint="eastAsia" w:eastAsia="方正仿宋简体"/>
          <w:sz w:val="32"/>
          <w:szCs w:val="32"/>
          <w:lang w:val="zh-CN"/>
        </w:rPr>
        <w:t>苏环办字〔</w:t>
      </w:r>
      <w:r>
        <w:rPr>
          <w:rFonts w:eastAsia="方正仿宋简体"/>
          <w:sz w:val="32"/>
          <w:szCs w:val="32"/>
          <w:lang w:val="zh-CN"/>
        </w:rPr>
        <w:t>201</w:t>
      </w:r>
      <w:r>
        <w:rPr>
          <w:rFonts w:hint="eastAsia" w:eastAsia="方正仿宋简体"/>
          <w:sz w:val="32"/>
          <w:szCs w:val="32"/>
          <w:lang w:val="en-US" w:eastAsia="zh-CN"/>
        </w:rPr>
        <w:t>6</w:t>
      </w:r>
      <w:r>
        <w:rPr>
          <w:rFonts w:hint="eastAsia" w:eastAsia="方正仿宋简体"/>
          <w:sz w:val="32"/>
          <w:szCs w:val="32"/>
          <w:lang w:val="zh-CN"/>
        </w:rPr>
        <w:t>〕</w:t>
      </w:r>
      <w:r>
        <w:rPr>
          <w:rFonts w:eastAsia="方正仿宋简体"/>
          <w:sz w:val="32"/>
          <w:szCs w:val="32"/>
          <w:lang w:val="zh-CN"/>
        </w:rPr>
        <w:t>89</w:t>
      </w:r>
      <w:r>
        <w:rPr>
          <w:rFonts w:hint="eastAsia" w:eastAsia="方正仿宋简体"/>
          <w:sz w:val="32"/>
          <w:szCs w:val="32"/>
          <w:lang w:val="zh-CN"/>
        </w:rPr>
        <w:t>号</w:t>
      </w:r>
    </w:p>
    <w:p>
      <w:pPr>
        <w:ind w:firstLine="31680" w:firstLineChars="1300"/>
        <w:rPr>
          <w:rFonts w:ascii="黑体" w:eastAsia="黑体"/>
          <w:sz w:val="36"/>
        </w:rPr>
      </w:pPr>
      <w: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194310</wp:posOffset>
                </wp:positionV>
                <wp:extent cx="2628900" cy="0"/>
                <wp:effectExtent l="0" t="0" r="0" b="0"/>
                <wp:wrapNone/>
                <wp:docPr id="2" name="直线 2"/>
                <wp:cNvGraphicFramePr/>
                <a:graphic xmlns:a="http://schemas.openxmlformats.org/drawingml/2006/main">
                  <a:graphicData uri="http://schemas.microsoft.com/office/word/2010/wordprocessingShape">
                    <wps:wsp>
                      <wps:cNvSpPr/>
                      <wps:spPr>
                        <a:xfrm flipH="1">
                          <a:off x="0" y="0"/>
                          <a:ext cx="2628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margin-left:234pt;margin-top:15.3pt;height:0pt;width:207pt;z-index:251658240;mso-width-relative:page;mso-height-relative:page;" filled="f" stroked="t" coordsize="21600,21600" o:gfxdata="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yPD9XWAAAACQEAAA8AAAAAAAAAAQAgAAAA&#10;IgAAAGRycy9kb3ducmV2LnhtbFBLAQIUABQAAAAIAIdO4kCzroLB1AEAAJgDAAAOAAAAAAAAAAEA&#10;IAAAACUBAABkcnMvZTJvRG9jLnhtbFBLBQYAAAAABgAGAFkBAABr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194310</wp:posOffset>
                </wp:positionV>
                <wp:extent cx="3096260" cy="0"/>
                <wp:effectExtent l="0" t="0" r="0" b="0"/>
                <wp:wrapNone/>
                <wp:docPr id="1" name="直线 3"/>
                <wp:cNvGraphicFramePr/>
                <a:graphic xmlns:a="http://schemas.openxmlformats.org/drawingml/2006/main">
                  <a:graphicData uri="http://schemas.microsoft.com/office/word/2010/wordprocessingShape">
                    <wps:wsp>
                      <wps:cNvSpPr/>
                      <wps:spPr>
                        <a:xfrm flipH="1">
                          <a:off x="0" y="0"/>
                          <a:ext cx="309626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margin-left:-9pt;margin-top:15.3pt;height:0pt;width:243.8pt;z-index:251657216;mso-width-relative:page;mso-height-relative:page;" filled="f" stroked="t" coordsize="21600,21600" o:gfxdata="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yLFIHWAAAACQEAAA8AAAAAAAAAAQAgAAAA&#10;IgAAAGRycy9kb3ducmV2LnhtbFBLAQIUABQAAAAIAIdO4kBfOvWS1AEAAJgDAAAOAAAAAAAAAAEA&#10;IAAAACUBAABkcnMvZTJvRG9jLnhtbFBLBQYAAAAABgAGAFkBAABrBQAAAAA=&#10;">
                <v:fill on="f" focussize="0,0"/>
                <v:stroke weight="1.5pt" color="#000000" joinstyle="round"/>
                <v:imagedata o:title=""/>
                <o:lock v:ext="edit" aspectratio="f"/>
              </v:line>
            </w:pict>
          </mc:Fallback>
        </mc:AlternateContent>
      </w:r>
    </w:p>
    <w:p>
      <w:pPr>
        <w:spacing w:line="580" w:lineRule="exact"/>
        <w:jc w:val="center"/>
        <w:rPr>
          <w:rFonts w:hint="eastAsia" w:ascii="方正小标宋简体" w:hAnsi="方正小标宋简体" w:eastAsia="方正小标宋简体" w:cs="方正小标宋简体"/>
          <w:bCs/>
          <w:sz w:val="44"/>
          <w:szCs w:val="22"/>
        </w:rPr>
      </w:pPr>
    </w:p>
    <w:p>
      <w:pPr>
        <w:spacing w:line="580" w:lineRule="exact"/>
        <w:jc w:val="center"/>
        <w:rPr>
          <w:rFonts w:hint="eastAsia" w:ascii="方正小标宋简体" w:hAnsi="方正小标宋简体" w:eastAsia="方正小标宋简体" w:cs="方正小标宋简体"/>
          <w:bCs/>
          <w:sz w:val="44"/>
          <w:szCs w:val="22"/>
        </w:rPr>
      </w:pPr>
      <w:r>
        <w:rPr>
          <w:rFonts w:hint="eastAsia" w:ascii="方正小标宋简体" w:hAnsi="方正小标宋简体" w:eastAsia="方正小标宋简体" w:cs="方正小标宋简体"/>
          <w:bCs/>
          <w:sz w:val="44"/>
          <w:szCs w:val="22"/>
        </w:rPr>
        <w:t>市环保局、市农委</w:t>
      </w:r>
    </w:p>
    <w:p>
      <w:pPr>
        <w:spacing w:line="580" w:lineRule="exact"/>
        <w:jc w:val="center"/>
        <w:rPr>
          <w:rFonts w:hint="eastAsia" w:ascii="方正小标宋简体" w:eastAsia="方正小标宋简体"/>
          <w:sz w:val="44"/>
          <w:szCs w:val="44"/>
        </w:rPr>
      </w:pPr>
      <w:r>
        <w:rPr>
          <w:rFonts w:hint="eastAsia" w:ascii="方正小标宋简体" w:hAnsi="方正小标宋简体" w:eastAsia="方正小标宋简体" w:cs="方正小标宋简体"/>
          <w:bCs/>
          <w:sz w:val="44"/>
          <w:szCs w:val="22"/>
        </w:rPr>
        <w:t>关于开展</w:t>
      </w:r>
      <w:r>
        <w:rPr>
          <w:rFonts w:hint="eastAsia" w:ascii="方正小标宋简体" w:eastAsia="方正小标宋简体"/>
          <w:sz w:val="44"/>
          <w:szCs w:val="44"/>
        </w:rPr>
        <w:t>畜禽养殖禁养限养区划定工作的</w:t>
      </w:r>
    </w:p>
    <w:p>
      <w:pPr>
        <w:spacing w:line="580" w:lineRule="exact"/>
        <w:jc w:val="center"/>
        <w:rPr>
          <w:rFonts w:hint="eastAsia" w:ascii="方正小标宋简体" w:hAnsi="方正小标宋简体" w:eastAsia="方正小标宋简体" w:cs="方正小标宋简体"/>
          <w:bCs/>
          <w:sz w:val="44"/>
          <w:szCs w:val="22"/>
        </w:rPr>
      </w:pPr>
      <w:r>
        <w:rPr>
          <w:rFonts w:hint="eastAsia" w:ascii="方正小标宋简体" w:eastAsia="方正小标宋简体"/>
          <w:sz w:val="44"/>
          <w:szCs w:val="44"/>
        </w:rPr>
        <w:t>通知</w:t>
      </w:r>
    </w:p>
    <w:p>
      <w:pPr>
        <w:spacing w:line="580" w:lineRule="exact"/>
        <w:rPr>
          <w:rFonts w:hint="eastAsia" w:ascii="仿宋_GB2312" w:eastAsia="仿宋_GB2312"/>
          <w:sz w:val="32"/>
          <w:szCs w:val="32"/>
        </w:rPr>
      </w:pPr>
    </w:p>
    <w:p>
      <w:pPr>
        <w:tabs>
          <w:tab w:val="left" w:pos="8478"/>
        </w:tabs>
        <w:spacing w:line="580" w:lineRule="exact"/>
        <w:rPr>
          <w:rFonts w:hint="eastAsia" w:ascii="仿宋_GB2312" w:eastAsia="仿宋_GB2312"/>
          <w:sz w:val="32"/>
          <w:szCs w:val="32"/>
        </w:rPr>
      </w:pPr>
      <w:r>
        <w:rPr>
          <w:rFonts w:hint="eastAsia" w:ascii="仿宋_GB2312" w:eastAsia="仿宋_GB2312"/>
          <w:sz w:val="32"/>
          <w:szCs w:val="32"/>
        </w:rPr>
        <w:t>各市、区人民政府，苏州工业园区、苏州高新区管委会：</w:t>
      </w:r>
    </w:p>
    <w:p>
      <w:pPr>
        <w:tabs>
          <w:tab w:val="left" w:pos="8478"/>
        </w:tabs>
        <w:spacing w:line="580" w:lineRule="exact"/>
        <w:ind w:firstLine="640"/>
        <w:rPr>
          <w:rFonts w:hint="eastAsia" w:ascii="仿宋_GB2312" w:eastAsia="仿宋_GB2312"/>
          <w:kern w:val="0"/>
          <w:sz w:val="32"/>
          <w:szCs w:val="28"/>
        </w:rPr>
      </w:pPr>
      <w:r>
        <w:rPr>
          <w:rFonts w:hint="eastAsia" w:ascii="仿宋_GB2312" w:eastAsia="仿宋_GB2312"/>
          <w:kern w:val="0"/>
          <w:sz w:val="32"/>
          <w:szCs w:val="28"/>
        </w:rPr>
        <w:t>根据《畜禽规模养殖污染防治条例》（国务院令第643号），为进一步贯彻落实省环保厅、农委、太湖办《关于印发加强太湖流域畜禽养殖污染防治及综合利用工作意见的通知》以及《市政府关于印发苏州市水污染防治工作方案的通知》要求，加大畜禽污染防治力度，保护水体，改善区域环境质量，实现畜禽养殖业健康持续发展，经研究决定，市环保局、市农委组织各地开展畜禽养殖禁养区和限养区划定工作。具体要求如下：</w:t>
      </w:r>
    </w:p>
    <w:p>
      <w:pPr>
        <w:tabs>
          <w:tab w:val="left" w:pos="8478"/>
        </w:tabs>
        <w:spacing w:line="580" w:lineRule="exact"/>
        <w:ind w:firstLine="640"/>
        <w:rPr>
          <w:rFonts w:hint="eastAsia" w:ascii="黑体" w:hAnsi="黑体" w:eastAsia="黑体" w:cs="黑体"/>
          <w:kern w:val="0"/>
          <w:sz w:val="32"/>
          <w:szCs w:val="28"/>
        </w:rPr>
      </w:pPr>
      <w:r>
        <w:rPr>
          <w:rFonts w:hint="eastAsia" w:ascii="黑体" w:hAnsi="黑体" w:eastAsia="黑体" w:cs="黑体"/>
          <w:kern w:val="0"/>
          <w:sz w:val="32"/>
          <w:szCs w:val="28"/>
        </w:rPr>
        <w:t>一、时间安排</w:t>
      </w:r>
    </w:p>
    <w:p>
      <w:pPr>
        <w:tabs>
          <w:tab w:val="left" w:pos="8478"/>
        </w:tabs>
        <w:spacing w:line="580" w:lineRule="exact"/>
        <w:ind w:firstLine="640"/>
        <w:rPr>
          <w:rFonts w:hint="eastAsia" w:ascii="仿宋_GB2312" w:eastAsia="仿宋_GB2312"/>
          <w:kern w:val="0"/>
          <w:sz w:val="32"/>
          <w:szCs w:val="28"/>
        </w:rPr>
      </w:pPr>
      <w:r>
        <w:rPr>
          <w:rFonts w:hint="eastAsia" w:ascii="仿宋_GB2312" w:eastAsia="仿宋_GB2312"/>
          <w:kern w:val="0"/>
          <w:sz w:val="32"/>
          <w:szCs w:val="28"/>
        </w:rPr>
        <w:t>2016年7-8月，各市、区完成辖区内畜禽养殖禁养区和限养区的划定（</w:t>
      </w:r>
      <w:r>
        <w:rPr>
          <w:rFonts w:hint="eastAsia" w:ascii="仿宋_GB2312" w:eastAsia="仿宋_GB2312"/>
          <w:sz w:val="32"/>
          <w:szCs w:val="28"/>
        </w:rPr>
        <w:t>已经划定禁养区，要对原划定方案进行调整和修改</w:t>
      </w:r>
      <w:r>
        <w:rPr>
          <w:rFonts w:hint="eastAsia" w:ascii="仿宋_GB2312" w:eastAsia="仿宋_GB2312"/>
          <w:kern w:val="0"/>
          <w:sz w:val="32"/>
          <w:szCs w:val="28"/>
        </w:rPr>
        <w:t>），并将划定报告报政府审核批准后，上报市环保局和农委。</w:t>
      </w:r>
    </w:p>
    <w:p>
      <w:pPr>
        <w:tabs>
          <w:tab w:val="left" w:pos="8478"/>
        </w:tabs>
        <w:spacing w:line="580" w:lineRule="exact"/>
        <w:ind w:firstLine="640"/>
        <w:rPr>
          <w:rFonts w:hint="eastAsia" w:ascii="仿宋_GB2312" w:eastAsia="仿宋_GB2312"/>
          <w:kern w:val="0"/>
          <w:sz w:val="32"/>
          <w:szCs w:val="28"/>
        </w:rPr>
      </w:pPr>
      <w:r>
        <w:rPr>
          <w:rFonts w:hint="eastAsia" w:ascii="仿宋_GB2312" w:eastAsia="仿宋_GB2312"/>
          <w:kern w:val="0"/>
          <w:sz w:val="32"/>
          <w:szCs w:val="28"/>
        </w:rPr>
        <w:t>2016年9月，市环保局、农委组织技术组，对各市、区的划定工作进行审核、调整和汇总，形成《苏州市畜禽养殖禁养限养区划定报告》（以下简称《划定报告》）。</w:t>
      </w:r>
    </w:p>
    <w:p>
      <w:pPr>
        <w:tabs>
          <w:tab w:val="left" w:pos="8478"/>
        </w:tabs>
        <w:spacing w:line="580" w:lineRule="exact"/>
        <w:ind w:firstLine="640"/>
        <w:rPr>
          <w:rFonts w:hint="eastAsia" w:ascii="仿宋_GB2312" w:eastAsia="仿宋_GB2312"/>
          <w:kern w:val="0"/>
          <w:sz w:val="32"/>
          <w:szCs w:val="28"/>
        </w:rPr>
      </w:pPr>
      <w:r>
        <w:rPr>
          <w:rFonts w:hint="eastAsia" w:ascii="仿宋_GB2312" w:eastAsia="仿宋_GB2312"/>
          <w:kern w:val="0"/>
          <w:sz w:val="32"/>
          <w:szCs w:val="28"/>
        </w:rPr>
        <w:t>2016年10月，《划定报告》经征求市各相关部门意见并修改完善后报市政府，经审核批准后上报省环保厅、省农委。</w:t>
      </w:r>
    </w:p>
    <w:p>
      <w:pPr>
        <w:tabs>
          <w:tab w:val="left" w:pos="8478"/>
        </w:tabs>
        <w:spacing w:line="580" w:lineRule="exact"/>
        <w:ind w:firstLine="640"/>
        <w:rPr>
          <w:rFonts w:hint="eastAsia" w:ascii="仿宋_GB2312" w:eastAsia="仿宋_GB2312"/>
          <w:kern w:val="0"/>
          <w:sz w:val="32"/>
          <w:szCs w:val="28"/>
        </w:rPr>
      </w:pPr>
      <w:r>
        <w:rPr>
          <w:rFonts w:hint="eastAsia" w:ascii="黑体" w:hAnsi="黑体" w:eastAsia="黑体" w:cs="黑体"/>
          <w:kern w:val="0"/>
          <w:sz w:val="32"/>
          <w:szCs w:val="28"/>
        </w:rPr>
        <w:t>二、工作要求</w:t>
      </w:r>
    </w:p>
    <w:p>
      <w:pPr>
        <w:tabs>
          <w:tab w:val="left" w:pos="8478"/>
        </w:tabs>
        <w:spacing w:line="580" w:lineRule="exact"/>
        <w:ind w:firstLine="640"/>
        <w:rPr>
          <w:rFonts w:hint="eastAsia" w:ascii="仿宋_GB2312" w:eastAsia="仿宋_GB2312"/>
          <w:kern w:val="0"/>
          <w:sz w:val="32"/>
          <w:szCs w:val="28"/>
        </w:rPr>
      </w:pPr>
      <w:r>
        <w:rPr>
          <w:rFonts w:hint="eastAsia" w:ascii="仿宋_GB2312" w:eastAsia="仿宋_GB2312"/>
          <w:kern w:val="0"/>
          <w:sz w:val="32"/>
          <w:szCs w:val="28"/>
        </w:rPr>
        <w:t>各市、区以本辖区为单位，依据畜禽养殖发展规划、水污染防治工作方案、生态红线区域保护规划等相关规划要求，科学划定畜禽养殖禁养区和限养区。上报材料为禁养限养区划定报告，同时将禁养区、限养区的区划范围标注在1：50000行政区划图上，一并上报。</w:t>
      </w:r>
    </w:p>
    <w:p>
      <w:pPr>
        <w:tabs>
          <w:tab w:val="left" w:pos="8478"/>
        </w:tabs>
        <w:spacing w:line="580" w:lineRule="exact"/>
        <w:ind w:firstLine="640"/>
        <w:rPr>
          <w:rFonts w:hint="eastAsia" w:ascii="黑体" w:hAnsi="黑体" w:eastAsia="黑体" w:cs="黑体"/>
          <w:kern w:val="0"/>
          <w:sz w:val="32"/>
          <w:szCs w:val="28"/>
        </w:rPr>
      </w:pPr>
      <w:r>
        <w:rPr>
          <w:rFonts w:hint="eastAsia" w:ascii="黑体" w:hAnsi="黑体" w:eastAsia="黑体" w:cs="黑体"/>
          <w:kern w:val="0"/>
          <w:sz w:val="32"/>
          <w:szCs w:val="28"/>
        </w:rPr>
        <w:t>三、注意事项</w:t>
      </w:r>
    </w:p>
    <w:p>
      <w:pPr>
        <w:tabs>
          <w:tab w:val="left" w:pos="8478"/>
        </w:tabs>
        <w:spacing w:line="580" w:lineRule="exact"/>
        <w:ind w:firstLine="640"/>
        <w:rPr>
          <w:rFonts w:hint="eastAsia" w:ascii="仿宋_GB2312" w:eastAsia="仿宋_GB2312"/>
          <w:kern w:val="0"/>
          <w:sz w:val="32"/>
          <w:szCs w:val="28"/>
        </w:rPr>
      </w:pPr>
      <w:r>
        <w:rPr>
          <w:rFonts w:hint="eastAsia" w:ascii="仿宋_GB2312" w:eastAsia="仿宋_GB2312"/>
          <w:kern w:val="0"/>
          <w:sz w:val="32"/>
          <w:szCs w:val="28"/>
        </w:rPr>
        <w:t>（一）畜禽养殖禁养、限养区的划定工作是落实水污染防治方案、推进生态文明建设的重要内容，各地要高度重视、强化组织、统筹安排、科学划定、按时上报。</w:t>
      </w:r>
    </w:p>
    <w:p>
      <w:pPr>
        <w:tabs>
          <w:tab w:val="left" w:pos="8478"/>
        </w:tabs>
        <w:spacing w:line="580" w:lineRule="exact"/>
        <w:ind w:firstLine="640"/>
        <w:rPr>
          <w:rFonts w:hint="eastAsia" w:ascii="仿宋_GB2312" w:eastAsia="仿宋_GB2312"/>
          <w:kern w:val="0"/>
          <w:sz w:val="32"/>
          <w:szCs w:val="28"/>
        </w:rPr>
      </w:pPr>
      <w:r>
        <w:rPr>
          <w:rFonts w:hint="eastAsia" w:ascii="仿宋_GB2312" w:eastAsia="仿宋_GB2312"/>
          <w:kern w:val="0"/>
          <w:sz w:val="32"/>
          <w:szCs w:val="28"/>
        </w:rPr>
        <w:t>（二）畜禽养殖禁养、限养区的划定工作涉及到国土、规划、水利、农业、环保等多个部门，各地要注意做好相关部门间的配合、衔接和协调工作，确保划定工作顺利完成。</w:t>
      </w:r>
    </w:p>
    <w:p>
      <w:pPr>
        <w:tabs>
          <w:tab w:val="left" w:pos="8478"/>
        </w:tabs>
        <w:spacing w:line="580" w:lineRule="exact"/>
        <w:ind w:firstLine="640"/>
        <w:rPr>
          <w:rFonts w:hint="eastAsia" w:ascii="仿宋_GB2312" w:eastAsia="仿宋_GB2312"/>
          <w:kern w:val="0"/>
          <w:sz w:val="32"/>
          <w:szCs w:val="28"/>
        </w:rPr>
      </w:pPr>
      <w:r>
        <w:rPr>
          <w:rFonts w:hint="eastAsia" w:ascii="仿宋_GB2312" w:eastAsia="仿宋_GB2312"/>
          <w:kern w:val="0"/>
          <w:sz w:val="32"/>
          <w:szCs w:val="28"/>
        </w:rPr>
        <w:t>（三）划定工作时间紧、任务重、要求高、技术性强，必要时可委托技术支持单位承担具体的技术工作，但须加强审核，严把质量关。</w:t>
      </w:r>
    </w:p>
    <w:p>
      <w:pPr>
        <w:tabs>
          <w:tab w:val="left" w:pos="8478"/>
        </w:tabs>
        <w:spacing w:line="580" w:lineRule="exact"/>
        <w:ind w:firstLine="640"/>
        <w:rPr>
          <w:rFonts w:hint="eastAsia" w:ascii="仿宋_GB2312" w:eastAsia="仿宋_GB2312"/>
          <w:kern w:val="0"/>
          <w:sz w:val="32"/>
          <w:szCs w:val="28"/>
        </w:rPr>
      </w:pPr>
    </w:p>
    <w:p>
      <w:pPr>
        <w:tabs>
          <w:tab w:val="left" w:pos="8478"/>
        </w:tabs>
        <w:spacing w:line="580" w:lineRule="exact"/>
        <w:ind w:firstLine="640"/>
        <w:rPr>
          <w:rFonts w:hint="eastAsia" w:ascii="仿宋_GB2312" w:eastAsia="仿宋_GB2312"/>
          <w:kern w:val="0"/>
          <w:sz w:val="32"/>
          <w:szCs w:val="28"/>
        </w:rPr>
      </w:pPr>
    </w:p>
    <w:p>
      <w:pPr>
        <w:tabs>
          <w:tab w:val="left" w:pos="8478"/>
        </w:tabs>
        <w:spacing w:line="580" w:lineRule="exact"/>
        <w:ind w:firstLine="640"/>
        <w:rPr>
          <w:rFonts w:hint="eastAsia" w:ascii="仿宋_GB2312" w:eastAsia="仿宋_GB2312"/>
          <w:kern w:val="0"/>
          <w:sz w:val="32"/>
          <w:szCs w:val="28"/>
        </w:rPr>
      </w:pPr>
      <w:r>
        <w:rPr>
          <w:rFonts w:hint="eastAsia" w:ascii="仿宋_GB2312" w:eastAsia="仿宋_GB2312"/>
          <w:kern w:val="0"/>
          <w:sz w:val="32"/>
          <w:szCs w:val="28"/>
        </w:rPr>
        <w:t>附件：1.畜禽养殖禁养区、限养区划定技术方案</w:t>
      </w:r>
    </w:p>
    <w:p>
      <w:pPr>
        <w:tabs>
          <w:tab w:val="left" w:pos="8478"/>
        </w:tabs>
        <w:spacing w:line="580" w:lineRule="exact"/>
        <w:ind w:firstLine="640"/>
        <w:rPr>
          <w:rFonts w:hint="eastAsia" w:ascii="仿宋_GB2312" w:eastAsia="仿宋_GB2312"/>
          <w:kern w:val="0"/>
          <w:sz w:val="32"/>
          <w:szCs w:val="28"/>
        </w:rPr>
      </w:pPr>
      <w:r>
        <w:rPr>
          <w:rFonts w:hint="eastAsia" w:ascii="仿宋_GB2312" w:eastAsia="仿宋_GB2312"/>
          <w:kern w:val="0"/>
          <w:sz w:val="32"/>
          <w:szCs w:val="28"/>
        </w:rPr>
        <w:t xml:space="preserve">      2.畜禽养殖禁养区、限养区划定报告（模版）</w:t>
      </w:r>
    </w:p>
    <w:p>
      <w:pPr>
        <w:tabs>
          <w:tab w:val="left" w:pos="8478"/>
        </w:tabs>
        <w:spacing w:line="580" w:lineRule="exact"/>
        <w:ind w:firstLine="640"/>
        <w:rPr>
          <w:rFonts w:hint="eastAsia" w:ascii="仿宋_GB2312" w:eastAsia="仿宋_GB2312"/>
          <w:kern w:val="0"/>
          <w:sz w:val="32"/>
          <w:szCs w:val="28"/>
        </w:rPr>
      </w:pPr>
    </w:p>
    <w:p>
      <w:pPr>
        <w:spacing w:beforeLines="50" w:afterLines="50" w:line="500" w:lineRule="exact"/>
        <w:jc w:val="center"/>
        <w:rPr>
          <w:rFonts w:eastAsia="方正大标宋简体"/>
          <w:bCs/>
          <w:sz w:val="44"/>
          <w:szCs w:val="44"/>
        </w:rPr>
      </w:pPr>
    </w:p>
    <w:p>
      <w:pPr>
        <w:spacing w:beforeLines="50" w:afterLines="50" w:line="500" w:lineRule="exact"/>
        <w:jc w:val="center"/>
        <w:rPr>
          <w:rFonts w:eastAsia="方正大标宋简体"/>
          <w:bCs/>
          <w:sz w:val="44"/>
          <w:szCs w:val="44"/>
        </w:rPr>
      </w:pPr>
    </w:p>
    <w:p>
      <w:pPr>
        <w:spacing w:beforeLines="50" w:afterLines="50" w:line="500" w:lineRule="exact"/>
        <w:jc w:val="center"/>
        <w:rPr>
          <w:rFonts w:eastAsia="方正大标宋简体"/>
          <w:bCs/>
          <w:sz w:val="44"/>
          <w:szCs w:val="44"/>
        </w:rPr>
      </w:pPr>
    </w:p>
    <w:p>
      <w:pPr>
        <w:spacing w:beforeLines="50" w:afterLines="50" w:line="500" w:lineRule="exact"/>
        <w:jc w:val="center"/>
        <w:rPr>
          <w:rFonts w:eastAsia="方正大标宋简体"/>
          <w:bCs/>
          <w:sz w:val="44"/>
          <w:szCs w:val="44"/>
        </w:rPr>
      </w:pPr>
    </w:p>
    <w:p>
      <w:pPr>
        <w:spacing w:beforeLines="50" w:afterLines="50" w:line="500" w:lineRule="exact"/>
        <w:jc w:val="center"/>
        <w:rPr>
          <w:rFonts w:eastAsia="方正大标宋简体"/>
          <w:bCs/>
          <w:sz w:val="44"/>
          <w:szCs w:val="44"/>
        </w:rPr>
      </w:pPr>
    </w:p>
    <w:p>
      <w:pPr>
        <w:spacing w:beforeLines="50" w:afterLines="50" w:line="500" w:lineRule="exact"/>
        <w:jc w:val="center"/>
        <w:rPr>
          <w:rFonts w:eastAsia="方正大标宋简体"/>
          <w:bCs/>
          <w:sz w:val="44"/>
          <w:szCs w:val="44"/>
        </w:rPr>
      </w:pPr>
    </w:p>
    <w:p>
      <w:pPr>
        <w:spacing w:beforeLines="50" w:afterLines="50" w:line="500" w:lineRule="exact"/>
        <w:jc w:val="center"/>
        <w:rPr>
          <w:rFonts w:eastAsia="方正大标宋简体"/>
          <w:bCs/>
          <w:sz w:val="44"/>
          <w:szCs w:val="44"/>
        </w:rPr>
      </w:pPr>
    </w:p>
    <w:p>
      <w:pPr>
        <w:spacing w:beforeLines="50" w:afterLines="50" w:line="500" w:lineRule="exact"/>
        <w:jc w:val="center"/>
        <w:rPr>
          <w:rFonts w:eastAsia="方正大标宋简体"/>
          <w:bCs/>
          <w:sz w:val="44"/>
          <w:szCs w:val="44"/>
        </w:rPr>
      </w:pPr>
    </w:p>
    <w:p>
      <w:pPr>
        <w:spacing w:beforeLines="50" w:afterLines="50" w:line="500" w:lineRule="exact"/>
        <w:jc w:val="center"/>
        <w:rPr>
          <w:rFonts w:eastAsia="方正大标宋简体"/>
          <w:bCs/>
          <w:sz w:val="44"/>
          <w:szCs w:val="44"/>
        </w:rPr>
      </w:pPr>
    </w:p>
    <w:p>
      <w:pPr>
        <w:spacing w:beforeLines="50" w:afterLines="50" w:line="500" w:lineRule="exact"/>
        <w:jc w:val="center"/>
        <w:rPr>
          <w:rFonts w:eastAsia="方正大标宋简体"/>
          <w:bCs/>
          <w:sz w:val="44"/>
          <w:szCs w:val="44"/>
        </w:rPr>
      </w:pPr>
    </w:p>
    <w:p>
      <w:pPr>
        <w:spacing w:beforeLines="50" w:afterLines="50" w:line="500" w:lineRule="exact"/>
        <w:jc w:val="center"/>
        <w:rPr>
          <w:rFonts w:eastAsia="方正大标宋简体"/>
          <w:bCs/>
          <w:sz w:val="44"/>
          <w:szCs w:val="44"/>
        </w:rPr>
      </w:pPr>
    </w:p>
    <w:p>
      <w:pPr>
        <w:spacing w:line="600" w:lineRule="exact"/>
        <w:ind w:firstLine="31680" w:firstLineChars="200"/>
        <w:rPr>
          <w:rFonts w:eastAsia="仿宋_GB2312"/>
          <w:sz w:val="32"/>
          <w:szCs w:val="32"/>
        </w:rPr>
      </w:pPr>
      <w:r>
        <w:rPr>
          <w:rFonts w:hint="eastAsia" w:eastAsia="仿宋_GB2312"/>
          <w:sz w:val="32"/>
          <w:szCs w:val="32"/>
        </w:rPr>
        <w:t>苏州市环境保护局</w:t>
      </w:r>
      <w:r>
        <w:rPr>
          <w:rFonts w:eastAsia="仿宋_GB2312"/>
          <w:sz w:val="32"/>
          <w:szCs w:val="32"/>
        </w:rPr>
        <w:t xml:space="preserve">               </w:t>
      </w:r>
      <w:r>
        <w:rPr>
          <w:rFonts w:hint="eastAsia" w:eastAsia="仿宋_GB2312"/>
          <w:sz w:val="32"/>
          <w:szCs w:val="32"/>
        </w:rPr>
        <w:t>苏州市</w:t>
      </w:r>
      <w:r>
        <w:rPr>
          <w:rFonts w:hint="eastAsia" w:eastAsia="仿宋_GB2312"/>
          <w:sz w:val="32"/>
          <w:szCs w:val="32"/>
          <w:lang w:eastAsia="zh-CN"/>
        </w:rPr>
        <w:t>农业委员会</w:t>
      </w:r>
      <w:r>
        <w:rPr>
          <w:rFonts w:eastAsia="仿宋_GB2312"/>
          <w:sz w:val="32"/>
          <w:szCs w:val="32"/>
        </w:rPr>
        <w:t xml:space="preserve">            </w:t>
      </w:r>
    </w:p>
    <w:p>
      <w:pPr>
        <w:spacing w:line="600" w:lineRule="exact"/>
        <w:jc w:val="right"/>
        <w:rPr>
          <w:rFonts w:eastAsia="仿宋_GB2312"/>
          <w:sz w:val="32"/>
          <w:szCs w:val="32"/>
        </w:rPr>
      </w:pPr>
    </w:p>
    <w:p>
      <w:pPr>
        <w:spacing w:line="600" w:lineRule="exact"/>
        <w:ind w:firstLine="31680" w:firstLineChars="1800"/>
        <w:rPr>
          <w:rFonts w:eastAsia="仿宋_GB2312"/>
          <w:sz w:val="28"/>
          <w:szCs w:val="28"/>
        </w:rPr>
      </w:pPr>
      <w:r>
        <w:rPr>
          <w:rFonts w:eastAsia="仿宋_GB2312"/>
          <w:sz w:val="32"/>
          <w:szCs w:val="32"/>
        </w:rPr>
        <w:t>20</w:t>
      </w:r>
      <w:bookmarkStart w:id="0" w:name="_GoBack"/>
      <w:bookmarkEnd w:id="0"/>
      <w:r>
        <w:rPr>
          <w:rFonts w:eastAsia="仿宋_GB2312"/>
          <w:sz w:val="32"/>
          <w:szCs w:val="32"/>
        </w:rPr>
        <w:t>1</w:t>
      </w:r>
      <w:r>
        <w:rPr>
          <w:rFonts w:hint="eastAsia" w:eastAsia="仿宋_GB2312"/>
          <w:sz w:val="32"/>
          <w:szCs w:val="32"/>
          <w:lang w:val="en-US" w:eastAsia="zh-CN"/>
        </w:rPr>
        <w:t>6</w:t>
      </w:r>
      <w:r>
        <w:rPr>
          <w:rFonts w:hint="eastAsia" w:eastAsia="仿宋_GB2312"/>
          <w:sz w:val="32"/>
          <w:szCs w:val="32"/>
        </w:rPr>
        <w:t>年</w:t>
      </w:r>
      <w:r>
        <w:rPr>
          <w:rFonts w:hint="eastAsia" w:eastAsia="仿宋_GB2312"/>
          <w:sz w:val="32"/>
          <w:szCs w:val="32"/>
          <w:lang w:val="en-US" w:eastAsia="zh-CN"/>
        </w:rPr>
        <w:t>7</w:t>
      </w:r>
      <w:r>
        <w:rPr>
          <w:rFonts w:hint="eastAsia" w:eastAsia="仿宋_GB2312"/>
          <w:sz w:val="32"/>
          <w:szCs w:val="32"/>
        </w:rPr>
        <w:t>月</w:t>
      </w:r>
      <w:r>
        <w:rPr>
          <w:rFonts w:hint="eastAsia" w:eastAsia="仿宋_GB2312"/>
          <w:sz w:val="32"/>
          <w:szCs w:val="32"/>
          <w:lang w:val="en-US" w:eastAsia="zh-CN"/>
        </w:rPr>
        <w:t>13</w:t>
      </w:r>
      <w:r>
        <w:rPr>
          <w:rFonts w:hint="eastAsia" w:eastAsia="仿宋_GB2312"/>
          <w:sz w:val="32"/>
          <w:szCs w:val="32"/>
        </w:rPr>
        <w:t>日</w:t>
      </w:r>
    </w:p>
    <w:p>
      <w:pPr>
        <w:pStyle w:val="19"/>
        <w:spacing w:line="580" w:lineRule="exact"/>
      </w:pPr>
    </w:p>
    <w:p>
      <w:pPr>
        <w:pStyle w:val="19"/>
        <w:spacing w:line="580" w:lineRule="exact"/>
      </w:pPr>
    </w:p>
    <w:p>
      <w:pPr>
        <w:pStyle w:val="19"/>
        <w:spacing w:line="580" w:lineRule="exact"/>
      </w:pPr>
    </w:p>
    <w:tbl>
      <w:tblPr>
        <w:tblStyle w:val="17"/>
        <w:tblW w:w="8296" w:type="dxa"/>
        <w:jc w:val="center"/>
        <w:tblInd w:w="108" w:type="dxa"/>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Layout w:type="fixed"/>
        <w:tblCellMar>
          <w:top w:w="0" w:type="dxa"/>
          <w:left w:w="108" w:type="dxa"/>
          <w:bottom w:w="0" w:type="dxa"/>
          <w:right w:w="108" w:type="dxa"/>
        </w:tblCellMar>
      </w:tblPr>
      <w:tblGrid>
        <w:gridCol w:w="8296"/>
      </w:tblGrid>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Layout w:type="fixed"/>
        </w:tblPrEx>
        <w:trPr>
          <w:trHeight w:val="473" w:hRule="atLeast"/>
          <w:jc w:val="center"/>
        </w:trPr>
        <w:tc>
          <w:tcPr>
            <w:tcW w:w="8296" w:type="dxa"/>
            <w:tcBorders>
              <w:top w:val="single" w:color="auto" w:sz="12" w:space="0"/>
            </w:tcBorders>
          </w:tcPr>
          <w:p>
            <w:pPr>
              <w:ind w:left="31680" w:hangingChars="300" w:firstLine="31680"/>
              <w:rPr>
                <w:sz w:val="30"/>
                <w:szCs w:val="30"/>
              </w:rPr>
            </w:pPr>
            <w:r>
              <w:rPr>
                <w:rFonts w:hint="eastAsia" w:eastAsia="仿宋_GB2312"/>
                <w:sz w:val="28"/>
                <w:szCs w:val="28"/>
                <w:lang w:val="zh-CN"/>
              </w:rPr>
              <w:t>抄送：各市、区环保局  各市、区农委（农业局） 苏州工业园区规划建设委员会 苏州高新区城乡发展局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Layout w:type="fixed"/>
        </w:tblPrEx>
        <w:trPr>
          <w:trHeight w:val="473" w:hRule="atLeast"/>
          <w:jc w:val="center"/>
        </w:trPr>
        <w:tc>
          <w:tcPr>
            <w:tcW w:w="8296" w:type="dxa"/>
            <w:tcBorders>
              <w:bottom w:val="single" w:color="auto" w:sz="12" w:space="0"/>
            </w:tcBorders>
          </w:tcPr>
          <w:p>
            <w:pPr>
              <w:autoSpaceDE w:val="0"/>
              <w:autoSpaceDN w:val="0"/>
              <w:adjustRightInd w:val="0"/>
              <w:spacing w:line="580" w:lineRule="exact"/>
              <w:ind w:firstLine="31680" w:firstLineChars="50"/>
              <w:rPr>
                <w:rFonts w:eastAsia="仿宋_GB2312"/>
                <w:sz w:val="28"/>
                <w:szCs w:val="28"/>
                <w:lang w:val="zh-CN"/>
              </w:rPr>
            </w:pPr>
            <w:r>
              <w:rPr>
                <w:rFonts w:hint="eastAsia" w:eastAsia="仿宋_GB2312"/>
                <w:sz w:val="28"/>
                <w:szCs w:val="28"/>
                <w:lang w:val="zh-CN"/>
              </w:rPr>
              <w:t>苏州市环境保护局</w:t>
            </w:r>
            <w:r>
              <w:rPr>
                <w:rFonts w:eastAsia="仿宋_GB2312"/>
                <w:sz w:val="28"/>
                <w:szCs w:val="28"/>
                <w:lang w:val="zh-CN"/>
              </w:rPr>
              <w:t xml:space="preserve">                      201</w:t>
            </w:r>
            <w:r>
              <w:rPr>
                <w:rFonts w:hint="eastAsia" w:eastAsia="仿宋_GB2312"/>
                <w:sz w:val="28"/>
                <w:szCs w:val="28"/>
                <w:lang w:val="en-US" w:eastAsia="zh-CN"/>
              </w:rPr>
              <w:t>6</w:t>
            </w:r>
            <w:r>
              <w:rPr>
                <w:rFonts w:hint="eastAsia" w:eastAsia="仿宋_GB2312"/>
                <w:sz w:val="28"/>
                <w:szCs w:val="28"/>
                <w:lang w:val="zh-CN"/>
              </w:rPr>
              <w:t>年</w:t>
            </w:r>
            <w:r>
              <w:rPr>
                <w:rFonts w:hint="eastAsia" w:eastAsia="仿宋_GB2312"/>
                <w:sz w:val="28"/>
                <w:szCs w:val="28"/>
                <w:lang w:val="en-US" w:eastAsia="zh-CN"/>
              </w:rPr>
              <w:t>7</w:t>
            </w:r>
            <w:r>
              <w:rPr>
                <w:rFonts w:hint="eastAsia" w:eastAsia="仿宋_GB2312"/>
                <w:sz w:val="28"/>
                <w:szCs w:val="28"/>
                <w:lang w:val="zh-CN"/>
              </w:rPr>
              <w:t>月</w:t>
            </w:r>
            <w:r>
              <w:rPr>
                <w:rFonts w:hint="eastAsia" w:eastAsia="仿宋_GB2312"/>
                <w:sz w:val="28"/>
                <w:szCs w:val="28"/>
                <w:lang w:val="en-US" w:eastAsia="zh-CN"/>
              </w:rPr>
              <w:t>18</w:t>
            </w:r>
            <w:r>
              <w:rPr>
                <w:rFonts w:hint="eastAsia" w:eastAsia="仿宋_GB2312"/>
                <w:sz w:val="28"/>
                <w:szCs w:val="28"/>
                <w:lang w:val="zh-CN"/>
              </w:rPr>
              <w:t>日印发</w:t>
            </w:r>
          </w:p>
        </w:tc>
      </w:tr>
    </w:tbl>
    <w:p>
      <w:pPr>
        <w:spacing w:line="400" w:lineRule="exact"/>
        <w:ind w:right="420"/>
        <w:jc w:val="right"/>
        <w:rPr>
          <w:rFonts w:ascii="方正仿宋简体" w:eastAsia="方正仿宋简体"/>
          <w:sz w:val="28"/>
          <w:szCs w:val="28"/>
        </w:rPr>
        <w:sectPr>
          <w:footerReference r:id="rId6" w:type="first"/>
          <w:headerReference r:id="rId3" w:type="default"/>
          <w:footerReference r:id="rId4" w:type="default"/>
          <w:footerReference r:id="rId5" w:type="even"/>
          <w:pgSz w:w="11906" w:h="16838"/>
          <w:pgMar w:top="1440" w:right="1588" w:bottom="1440" w:left="1588" w:header="851" w:footer="992" w:gutter="0"/>
          <w:cols w:space="720" w:num="1"/>
          <w:titlePg/>
          <w:docGrid w:linePitch="312" w:charSpace="0"/>
        </w:sectPr>
      </w:pPr>
    </w:p>
    <w:p>
      <w:pPr>
        <w:spacing w:line="580" w:lineRule="exact"/>
        <w:rPr>
          <w:rFonts w:hint="eastAsia" w:ascii="方正小标宋简体" w:hAnsi="黑体" w:eastAsia="方正小标宋简体" w:cs="黑体"/>
          <w:sz w:val="32"/>
          <w:szCs w:val="32"/>
        </w:rPr>
      </w:pPr>
      <w:r>
        <w:rPr>
          <w:rFonts w:hint="eastAsia" w:ascii="方正小标宋简体" w:hAnsi="黑体" w:eastAsia="方正小标宋简体" w:cs="黑体"/>
          <w:sz w:val="32"/>
          <w:szCs w:val="32"/>
        </w:rPr>
        <w:t>附件1</w:t>
      </w:r>
    </w:p>
    <w:p>
      <w:pPr>
        <w:spacing w:line="580" w:lineRule="exact"/>
        <w:rPr>
          <w:rFonts w:hint="eastAsia" w:ascii="方正小标宋简体" w:hAnsi="黑体" w:eastAsia="方正小标宋简体" w:cs="黑体"/>
          <w:sz w:val="32"/>
          <w:szCs w:val="32"/>
        </w:rPr>
      </w:pPr>
    </w:p>
    <w:p>
      <w:pPr>
        <w:snapToGrid w:val="0"/>
        <w:spacing w:line="580" w:lineRule="exact"/>
        <w:jc w:val="center"/>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畜禽养殖禁养区、限养区划定技术方案</w:t>
      </w:r>
    </w:p>
    <w:p>
      <w:pPr>
        <w:snapToGrid w:val="0"/>
        <w:spacing w:line="580" w:lineRule="exact"/>
        <w:jc w:val="center"/>
        <w:rPr>
          <w:rFonts w:hint="eastAsia" w:ascii="方正小标宋简体" w:hAnsi="方正小标宋简体" w:eastAsia="方正小标宋简体" w:cs="方正小标宋简体"/>
          <w:kern w:val="0"/>
          <w:sz w:val="44"/>
          <w:szCs w:val="40"/>
        </w:rPr>
      </w:pPr>
    </w:p>
    <w:p>
      <w:pPr>
        <w:spacing w:line="580" w:lineRule="exact"/>
        <w:ind w:firstLine="640" w:firstLineChars="200"/>
        <w:rPr>
          <w:rStyle w:val="32"/>
          <w:rFonts w:hint="default" w:ascii="黑体" w:hAnsi="黑体" w:eastAsia="黑体" w:cs="黑体"/>
          <w:bCs/>
          <w:color w:val="auto"/>
          <w:sz w:val="32"/>
          <w:szCs w:val="32"/>
        </w:rPr>
      </w:pPr>
      <w:r>
        <w:rPr>
          <w:rStyle w:val="32"/>
          <w:rFonts w:hint="default" w:ascii="黑体" w:hAnsi="黑体" w:eastAsia="黑体" w:cs="黑体"/>
          <w:bCs/>
          <w:color w:val="auto"/>
          <w:sz w:val="32"/>
          <w:szCs w:val="32"/>
        </w:rPr>
        <w:t>一、术语与定义</w:t>
      </w:r>
    </w:p>
    <w:p>
      <w:pPr>
        <w:spacing w:line="580" w:lineRule="exact"/>
        <w:ind w:firstLine="640" w:firstLineChars="20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1.畜禽</w:t>
      </w:r>
    </w:p>
    <w:p>
      <w:pPr>
        <w:spacing w:line="580" w:lineRule="exact"/>
        <w:ind w:firstLine="640" w:firstLineChars="20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包括猪、牛、鸡、羊、鸭、鹅等主要畜禽和鹿、狐、貂、骆驼、鸵鸟等经济动物。</w:t>
      </w:r>
    </w:p>
    <w:p>
      <w:pPr>
        <w:spacing w:line="580" w:lineRule="exact"/>
        <w:ind w:firstLine="640" w:firstLineChars="20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2.禁养区</w:t>
      </w:r>
    </w:p>
    <w:p>
      <w:pPr>
        <w:spacing w:line="580" w:lineRule="exact"/>
        <w:ind w:firstLine="640" w:firstLineChars="20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指县级以上地方人民政府依法划定的禁止设立畜禽养殖场（户）、养殖小区的区域。</w:t>
      </w:r>
    </w:p>
    <w:p>
      <w:pPr>
        <w:spacing w:line="580" w:lineRule="exact"/>
        <w:ind w:firstLine="640" w:firstLineChars="20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3.限养区</w:t>
      </w:r>
    </w:p>
    <w:p>
      <w:pPr>
        <w:spacing w:line="580" w:lineRule="exact"/>
        <w:ind w:firstLine="640" w:firstLineChars="20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指县级以上地方人民政府依法划定的禁止新建、扩建畜禽养殖场（户）、养殖小区的区域，但可改建现有畜禽养殖场，区域内养殖总量不得增加。</w:t>
      </w:r>
    </w:p>
    <w:p>
      <w:pPr>
        <w:spacing w:line="580" w:lineRule="exact"/>
        <w:ind w:firstLine="640" w:firstLineChars="20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4.畜禽养殖场（户）、养殖小区</w:t>
      </w:r>
    </w:p>
    <w:p>
      <w:pPr>
        <w:spacing w:line="580" w:lineRule="exact"/>
        <w:ind w:firstLine="640" w:firstLineChars="20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各畜禽规模养殖场（户）、小区的标准为：生猪年出栏50头以上、肉禽年出栏2000只以上、蛋禽存栏500只以上、奶牛存栏20头以上，不包括已列入国家、省级畜禽遗传资源保护品种的保种场、保护区、基因库。</w:t>
      </w:r>
    </w:p>
    <w:p>
      <w:pPr>
        <w:spacing w:line="580" w:lineRule="exact"/>
        <w:ind w:firstLine="640" w:firstLineChars="20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其它经济动物参照以上标准。</w:t>
      </w:r>
    </w:p>
    <w:p>
      <w:pPr>
        <w:spacing w:line="580" w:lineRule="exact"/>
        <w:ind w:firstLine="640"/>
        <w:rPr>
          <w:rStyle w:val="32"/>
          <w:rFonts w:hint="default" w:ascii="黑体" w:hAnsi="黑体" w:eastAsia="黑体" w:cs="黑体"/>
          <w:color w:val="auto"/>
          <w:sz w:val="32"/>
          <w:szCs w:val="32"/>
        </w:rPr>
      </w:pPr>
      <w:r>
        <w:rPr>
          <w:rStyle w:val="32"/>
          <w:rFonts w:hint="default" w:ascii="黑体" w:hAnsi="黑体" w:eastAsia="黑体" w:cs="黑体"/>
          <w:color w:val="auto"/>
          <w:sz w:val="32"/>
          <w:szCs w:val="32"/>
        </w:rPr>
        <w:t>二、基本要求</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以优化畜禽养殖产业布局、控制农业面源污染、保障生态环境安全为目的，以统筹兼顾、科学可行、依法合规、以人为本为基本原则，根据《江苏省生态红线保护规划》、《苏州市生态文明建设规划》、《苏州市水污染防治工作方案》等相关规划，以饮用水源保护区、重要地表水体、生态红线保护区等区域为重点，兼顾城镇居民区、文化教育科学研究区等区域，科学合理划定禁养、限养区范围，切实加强综合治理和环境监管，促进环境保护和畜牧业协调发展。</w:t>
      </w:r>
    </w:p>
    <w:p>
      <w:pPr>
        <w:spacing w:line="580" w:lineRule="exact"/>
        <w:ind w:firstLine="640"/>
        <w:rPr>
          <w:rStyle w:val="32"/>
          <w:rFonts w:hint="default" w:ascii="黑体" w:hAnsi="黑体" w:eastAsia="黑体" w:cs="黑体"/>
          <w:color w:val="auto"/>
          <w:sz w:val="32"/>
          <w:szCs w:val="32"/>
        </w:rPr>
      </w:pPr>
      <w:r>
        <w:rPr>
          <w:rStyle w:val="32"/>
          <w:rFonts w:hint="default" w:ascii="黑体" w:hAnsi="黑体" w:eastAsia="黑体" w:cs="黑体"/>
          <w:color w:val="auto"/>
          <w:sz w:val="32"/>
          <w:szCs w:val="32"/>
        </w:rPr>
        <w:t>三、划定原则</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1.坚持依法保护生态环境的原则。用法律、行政、经济、科技等手段保护自然生态要素、系统和区域环境质量。</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2.坚持畜禽养殖业持续健康发展的原则。因地制宜，统筹协调，促进畜牧业又好又快发展，保障畜产品有效供给。养殖规模与废弃物处理相配套，环境保护与生产发展相结合。</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3.坚持符合动物防疫条件的原则。动物饲养场、养殖小区和动物隔离等场所，应当符合《中华人民共和国动物防疫法》和农业部《动物防疫条件审查办法》等法律法规规定的条件，并依法取得《动物防疫条件合格证》。</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4.坚持维护群众合法权益的原则。维护环境友好、社会和谐，保障畜禽产品供给和畜禽产品安全，提高群众生活质量。</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5.坚持基本农田保护和畜禽种质资源保护的原则。</w:t>
      </w:r>
    </w:p>
    <w:p>
      <w:pPr>
        <w:spacing w:line="580" w:lineRule="exact"/>
        <w:ind w:firstLine="640"/>
        <w:rPr>
          <w:rStyle w:val="32"/>
          <w:rFonts w:hint="default" w:ascii="黑体" w:hAnsi="黑体" w:eastAsia="黑体" w:cs="黑体"/>
          <w:color w:val="auto"/>
          <w:sz w:val="32"/>
          <w:szCs w:val="32"/>
        </w:rPr>
      </w:pPr>
      <w:r>
        <w:rPr>
          <w:rStyle w:val="32"/>
          <w:rFonts w:hint="default" w:ascii="黑体" w:hAnsi="黑体" w:eastAsia="黑体" w:cs="黑体"/>
          <w:color w:val="auto"/>
          <w:sz w:val="32"/>
          <w:szCs w:val="32"/>
        </w:rPr>
        <w:t>四、划定范围</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1.畜禽养殖禁养区划定范围</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1.1重要地表水体水域和陆域</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（1）饮用水源保护区</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集中式和乡镇饮用水源保护区范围（含应急和备用水源地），包括一级保护区、二级保护区。</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（2）环太湖 1 公里及望虞河上溯 10 公里两侧 1 公里的范围。</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（3）阳澄湖水源水质保护条例划定的一级保护区和二级保护区范围。</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1.2生态红线区</w:t>
      </w:r>
    </w:p>
    <w:p>
      <w:pPr>
        <w:numPr>
          <w:ilvl w:val="0"/>
          <w:numId w:val="1"/>
        </w:num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《江苏省生态红线区域保护规划》已划定的省级生态红线区一级管控区范围。</w:t>
      </w:r>
    </w:p>
    <w:p>
      <w:pPr>
        <w:numPr>
          <w:ilvl w:val="0"/>
          <w:numId w:val="1"/>
        </w:num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已划定为省级生态红线区的风景名胜区、地质遗迹保护区、湿地公园、清水通道维护区的二级管控区范围。</w:t>
      </w:r>
    </w:p>
    <w:p>
      <w:pPr>
        <w:spacing w:line="580" w:lineRule="exact"/>
        <w:ind w:firstLine="640" w:firstLineChars="20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1.3城市建成区</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苏州市中心城区、各县级市、区及各镇城镇建成区的区域范围。</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1.4其他区域</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各市、区人民政府认定需要划为畜禽养殖禁养区的区域。</w:t>
      </w:r>
    </w:p>
    <w:p>
      <w:pPr>
        <w:numPr>
          <w:ilvl w:val="0"/>
          <w:numId w:val="2"/>
        </w:num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畜禽养殖限养区划定范围</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2.1 环太湖1-5公里的陆域范围。</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2.2各市、区人民政府认定需要划为畜禽养殖限养区的区域。</w:t>
      </w:r>
    </w:p>
    <w:p>
      <w:pPr>
        <w:spacing w:line="580" w:lineRule="exact"/>
        <w:ind w:firstLine="640"/>
        <w:rPr>
          <w:rStyle w:val="32"/>
          <w:rFonts w:hint="default" w:ascii="黑体" w:hAnsi="黑体" w:eastAsia="黑体" w:cs="黑体"/>
          <w:color w:val="auto"/>
          <w:sz w:val="32"/>
          <w:szCs w:val="32"/>
        </w:rPr>
      </w:pPr>
      <w:r>
        <w:rPr>
          <w:rStyle w:val="32"/>
          <w:rFonts w:hint="default" w:ascii="黑体" w:hAnsi="黑体" w:eastAsia="黑体" w:cs="黑体"/>
          <w:color w:val="auto"/>
          <w:sz w:val="32"/>
          <w:szCs w:val="32"/>
        </w:rPr>
        <w:t>五、划界操作</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1.界限确定</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对于已建、并有严格界限的各类畜禽养殖禁养区、限养区，以现有界限为准进行划界（对于跨辖区的养殖区，将本辖区内的部分划出），如生态红线保护区；无严格界限的，需明确其范围，可以河流、生态系统边界（如森林、湿地的边界）、公路或行政边界、经纬度等进行划界。</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2.底图描绘</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各市、区确定的禁养、限养区，参照生态红线图、地形图、水系图等图件，在1:50000行政区划图（含有村庄边界）上，逐块准确描绘出各类畜禽养殖分区界线，并注明编号。禁养区界线用实红线描绘，限养区界线用虚红线描绘。</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3.编号规定</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对于已划定的畜禽养殖禁养限养区，在填写信息表时要统一进行编号，编号方式为：类型代码+阿拉伯数字。其中阿拉伯数字从01开始进行编号。各类畜禽养殖禁养区、限养区代码如下：</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A：重要地表水体水域和陆域禁养区；</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B：生态红线保护区禁养区；</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C：城市建成区禁养区</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D：其他区域禁养区。</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X：限养区</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4.重叠处理</w:t>
      </w:r>
    </w:p>
    <w:p>
      <w:pPr>
        <w:spacing w:line="560" w:lineRule="exact"/>
        <w:ind w:firstLine="640" w:firstLineChars="20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在进行畜禽养殖禁养区、限养区划界时，出现两种类型重叠时，按以下办法处理。第一，禁养区和限养区交叉重叠时，重叠部分划入禁养区。第二，当两种禁养区或限养区类型交叉重叠时，按饮用水水源保护区、重要地表水体、生态红线保护区、城市建成区、其他区域顺序排序，涉及的面积、镇（街道）不重复计算。</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5、命名方式</w:t>
      </w:r>
    </w:p>
    <w:p>
      <w:pPr>
        <w:spacing w:line="580" w:lineRule="exact"/>
        <w:ind w:firstLine="640"/>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畜禽养殖禁养、限养区的命名要明确其地理位置，并突出保护目标，命名方式可以参照生态红线区。对于已建的自然保护区、风景名胜区等生态红线保护区，其名称直接引用全名。</w:t>
      </w:r>
    </w:p>
    <w:p>
      <w:pPr>
        <w:spacing w:line="580" w:lineRule="exact"/>
        <w:ind w:firstLine="640"/>
        <w:rPr>
          <w:rStyle w:val="32"/>
          <w:rFonts w:hint="default" w:ascii="仿宋_GB2312" w:hAnsi="仿宋_GB2312" w:eastAsia="仿宋_GB2312" w:cs="仿宋_GB2312"/>
          <w:color w:val="auto"/>
          <w:sz w:val="32"/>
          <w:szCs w:val="32"/>
        </w:rPr>
      </w:pPr>
    </w:p>
    <w:p>
      <w:pPr>
        <w:spacing w:line="580" w:lineRule="exact"/>
        <w:ind w:firstLine="640"/>
        <w:rPr>
          <w:rStyle w:val="32"/>
          <w:rFonts w:hint="default" w:ascii="仿宋_GB2312" w:hAnsi="仿宋_GB2312" w:eastAsia="仿宋_GB2312" w:cs="仿宋_GB2312"/>
          <w:color w:val="auto"/>
          <w:sz w:val="32"/>
          <w:szCs w:val="32"/>
        </w:rPr>
      </w:pPr>
    </w:p>
    <w:p>
      <w:pPr>
        <w:spacing w:line="580" w:lineRule="exact"/>
        <w:ind w:firstLine="640"/>
        <w:rPr>
          <w:rStyle w:val="32"/>
          <w:rFonts w:hint="default" w:ascii="仿宋_GB2312" w:hAnsi="仿宋_GB2312" w:eastAsia="仿宋_GB2312" w:cs="仿宋_GB2312"/>
          <w:color w:val="auto"/>
          <w:sz w:val="32"/>
          <w:szCs w:val="32"/>
        </w:rPr>
      </w:pPr>
    </w:p>
    <w:p>
      <w:pPr>
        <w:spacing w:line="580" w:lineRule="exact"/>
        <w:ind w:firstLine="640"/>
        <w:rPr>
          <w:rStyle w:val="32"/>
          <w:rFonts w:hint="default" w:ascii="仿宋_GB2312" w:hAnsi="仿宋_GB2312" w:eastAsia="仿宋_GB2312" w:cs="仿宋_GB2312"/>
          <w:color w:val="auto"/>
          <w:sz w:val="32"/>
          <w:szCs w:val="32"/>
        </w:rPr>
      </w:pPr>
    </w:p>
    <w:p>
      <w:pPr>
        <w:spacing w:line="580" w:lineRule="exact"/>
        <w:ind w:firstLine="640"/>
        <w:rPr>
          <w:rStyle w:val="32"/>
          <w:rFonts w:hint="default" w:ascii="仿宋_GB2312" w:hAnsi="仿宋_GB2312" w:eastAsia="仿宋_GB2312" w:cs="仿宋_GB2312"/>
          <w:color w:val="auto"/>
          <w:sz w:val="32"/>
          <w:szCs w:val="32"/>
        </w:rPr>
      </w:pPr>
    </w:p>
    <w:p>
      <w:pPr>
        <w:spacing w:line="580" w:lineRule="exact"/>
        <w:ind w:firstLine="640"/>
        <w:rPr>
          <w:rStyle w:val="32"/>
          <w:rFonts w:hint="default" w:ascii="仿宋_GB2312" w:hAnsi="仿宋_GB2312" w:eastAsia="仿宋_GB2312" w:cs="仿宋_GB2312"/>
          <w:color w:val="auto"/>
          <w:sz w:val="32"/>
          <w:szCs w:val="32"/>
        </w:rPr>
      </w:pPr>
    </w:p>
    <w:p>
      <w:pPr>
        <w:spacing w:line="580" w:lineRule="exact"/>
        <w:ind w:firstLine="640"/>
        <w:rPr>
          <w:rStyle w:val="32"/>
          <w:rFonts w:hint="default" w:ascii="方正小标宋简体" w:hAnsi="仿宋_GB2312" w:eastAsia="方正小标宋简体" w:cs="仿宋_GB2312"/>
          <w:color w:val="auto"/>
          <w:sz w:val="32"/>
          <w:szCs w:val="32"/>
        </w:rPr>
      </w:pPr>
      <w:r>
        <w:rPr>
          <w:rStyle w:val="32"/>
          <w:rFonts w:hint="default" w:ascii="方正小标宋简体" w:hAnsi="仿宋_GB2312" w:eastAsia="方正小标宋简体" w:cs="仿宋_GB2312"/>
          <w:color w:val="auto"/>
          <w:sz w:val="32"/>
          <w:szCs w:val="32"/>
        </w:rPr>
        <w:t>附件2</w:t>
      </w:r>
    </w:p>
    <w:p>
      <w:pPr>
        <w:spacing w:line="580" w:lineRule="exact"/>
        <w:ind w:firstLine="640"/>
        <w:rPr>
          <w:rStyle w:val="32"/>
          <w:rFonts w:hint="default" w:ascii="方正小标宋简体" w:hAnsi="仿宋_GB2312" w:eastAsia="方正小标宋简体" w:cs="仿宋_GB2312"/>
          <w:color w:val="auto"/>
          <w:sz w:val="32"/>
          <w:szCs w:val="32"/>
        </w:rPr>
      </w:pPr>
    </w:p>
    <w:p>
      <w:pPr>
        <w:spacing w:line="580" w:lineRule="exact"/>
        <w:ind w:firstLine="640"/>
        <w:jc w:val="center"/>
        <w:rPr>
          <w:rStyle w:val="32"/>
          <w:rFonts w:hint="default" w:ascii="方正小标宋简体" w:hAnsi="仿宋_GB2312" w:eastAsia="方正小标宋简体" w:cs="仿宋_GB2312"/>
          <w:color w:val="auto"/>
          <w:sz w:val="32"/>
          <w:szCs w:val="32"/>
        </w:rPr>
      </w:pPr>
      <w:r>
        <w:rPr>
          <w:rStyle w:val="32"/>
          <w:rFonts w:hint="default" w:ascii="方正小标宋简体" w:hAnsi="仿宋_GB2312" w:eastAsia="方正小标宋简体" w:cs="仿宋_GB2312"/>
          <w:color w:val="auto"/>
          <w:sz w:val="32"/>
          <w:szCs w:val="32"/>
        </w:rPr>
        <w:t xml:space="preserve">某市（区）畜禽养殖禁养限养区划定报告 </w:t>
      </w:r>
    </w:p>
    <w:p>
      <w:pPr>
        <w:numPr>
          <w:ilvl w:val="0"/>
          <w:numId w:val="3"/>
        </w:numPr>
        <w:spacing w:line="580" w:lineRule="exact"/>
        <w:jc w:val="left"/>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前言</w:t>
      </w:r>
    </w:p>
    <w:p>
      <w:pPr>
        <w:numPr>
          <w:ilvl w:val="0"/>
          <w:numId w:val="3"/>
        </w:numPr>
        <w:spacing w:line="580" w:lineRule="exact"/>
        <w:jc w:val="left"/>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管理要求</w:t>
      </w:r>
    </w:p>
    <w:p>
      <w:pPr>
        <w:numPr>
          <w:ilvl w:val="0"/>
          <w:numId w:val="3"/>
        </w:numPr>
        <w:spacing w:line="580" w:lineRule="exact"/>
        <w:jc w:val="left"/>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区划情况</w:t>
      </w:r>
    </w:p>
    <w:p>
      <w:pPr>
        <w:spacing w:line="580" w:lineRule="exact"/>
        <w:jc w:val="center"/>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表1  某市（区）畜禽养殖禁养限养区情况统计表</w:t>
      </w:r>
    </w:p>
    <w:tbl>
      <w:tblPr>
        <w:tblStyle w:val="17"/>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6"/>
        <w:gridCol w:w="1009"/>
        <w:gridCol w:w="992"/>
        <w:gridCol w:w="2268"/>
        <w:gridCol w:w="851"/>
        <w:gridCol w:w="850"/>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80" w:hRule="atLeast"/>
        </w:trPr>
        <w:tc>
          <w:tcPr>
            <w:tcW w:w="976" w:type="dxa"/>
            <w:vMerge w:val="restart"/>
            <w:vAlign w:val="center"/>
          </w:tcPr>
          <w:p>
            <w:pPr>
              <w:rPr>
                <w:rFonts w:hint="eastAsia" w:ascii="仿宋_GB2312" w:eastAsia="仿宋_GB2312"/>
              </w:rPr>
            </w:pPr>
            <w:r>
              <w:rPr>
                <w:rFonts w:hint="eastAsia" w:ascii="仿宋_GB2312" w:eastAsia="仿宋_GB2312"/>
              </w:rPr>
              <w:t>地区</w:t>
            </w:r>
          </w:p>
        </w:tc>
        <w:tc>
          <w:tcPr>
            <w:tcW w:w="4269" w:type="dxa"/>
            <w:gridSpan w:val="3"/>
            <w:vAlign w:val="center"/>
          </w:tcPr>
          <w:p>
            <w:pPr>
              <w:jc w:val="center"/>
              <w:rPr>
                <w:rFonts w:hint="eastAsia" w:ascii="仿宋_GB2312" w:eastAsia="仿宋_GB2312"/>
              </w:rPr>
            </w:pPr>
            <w:r>
              <w:rPr>
                <w:rFonts w:hint="eastAsia" w:ascii="仿宋_GB2312" w:eastAsia="仿宋_GB2312"/>
              </w:rPr>
              <w:t>禁养区</w:t>
            </w:r>
          </w:p>
        </w:tc>
        <w:tc>
          <w:tcPr>
            <w:tcW w:w="4111" w:type="dxa"/>
            <w:gridSpan w:val="3"/>
            <w:vAlign w:val="center"/>
          </w:tcPr>
          <w:p>
            <w:pPr>
              <w:jc w:val="center"/>
              <w:rPr>
                <w:rFonts w:hint="eastAsia" w:ascii="仿宋_GB2312" w:eastAsia="仿宋_GB2312"/>
              </w:rPr>
            </w:pPr>
            <w:r>
              <w:rPr>
                <w:rFonts w:hint="eastAsia" w:ascii="仿宋_GB2312" w:eastAsia="仿宋_GB2312"/>
              </w:rPr>
              <w:t>限养区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76" w:type="dxa"/>
            <w:vMerge w:val="continue"/>
            <w:vAlign w:val="center"/>
          </w:tcPr>
          <w:p>
            <w:pPr>
              <w:rPr>
                <w:rFonts w:hint="eastAsia" w:ascii="仿宋_GB2312" w:eastAsia="仿宋_GB2312"/>
              </w:rPr>
            </w:pPr>
          </w:p>
        </w:tc>
        <w:tc>
          <w:tcPr>
            <w:tcW w:w="1009" w:type="dxa"/>
            <w:vAlign w:val="center"/>
          </w:tcPr>
          <w:p>
            <w:pPr>
              <w:jc w:val="center"/>
              <w:rPr>
                <w:rFonts w:hint="eastAsia" w:ascii="仿宋_GB2312" w:eastAsia="仿宋_GB2312"/>
              </w:rPr>
            </w:pPr>
            <w:r>
              <w:rPr>
                <w:rFonts w:hint="eastAsia" w:ascii="仿宋_GB2312" w:eastAsia="仿宋_GB2312"/>
              </w:rPr>
              <w:t>数量（个）</w:t>
            </w:r>
          </w:p>
        </w:tc>
        <w:tc>
          <w:tcPr>
            <w:tcW w:w="992" w:type="dxa"/>
            <w:vAlign w:val="center"/>
          </w:tcPr>
          <w:p>
            <w:pPr>
              <w:jc w:val="center"/>
              <w:rPr>
                <w:rFonts w:hint="eastAsia" w:ascii="仿宋_GB2312" w:eastAsia="仿宋_GB2312"/>
              </w:rPr>
            </w:pPr>
            <w:r>
              <w:rPr>
                <w:rFonts w:hint="eastAsia" w:ascii="仿宋_GB2312" w:eastAsia="仿宋_GB2312"/>
              </w:rPr>
              <w:t>面积（km</w:t>
            </w:r>
            <w:r>
              <w:rPr>
                <w:rFonts w:hint="eastAsia" w:ascii="仿宋_GB2312" w:eastAsia="仿宋_GB2312"/>
                <w:vertAlign w:val="superscript"/>
              </w:rPr>
              <w:t>2</w:t>
            </w:r>
            <w:r>
              <w:rPr>
                <w:rFonts w:hint="eastAsia" w:ascii="仿宋_GB2312" w:eastAsia="仿宋_GB2312"/>
              </w:rPr>
              <w:t>）</w:t>
            </w:r>
          </w:p>
        </w:tc>
        <w:tc>
          <w:tcPr>
            <w:tcW w:w="2268" w:type="dxa"/>
            <w:vAlign w:val="center"/>
          </w:tcPr>
          <w:p>
            <w:pPr>
              <w:jc w:val="center"/>
              <w:rPr>
                <w:rFonts w:hint="eastAsia" w:ascii="仿宋_GB2312" w:eastAsia="仿宋_GB2312"/>
              </w:rPr>
            </w:pPr>
            <w:r>
              <w:rPr>
                <w:rFonts w:hint="eastAsia" w:ascii="仿宋_GB2312" w:eastAsia="仿宋_GB2312"/>
              </w:rPr>
              <w:t>涉及乡镇（街道）（个）</w:t>
            </w:r>
          </w:p>
        </w:tc>
        <w:tc>
          <w:tcPr>
            <w:tcW w:w="851" w:type="dxa"/>
            <w:vAlign w:val="center"/>
          </w:tcPr>
          <w:p>
            <w:pPr>
              <w:jc w:val="center"/>
              <w:rPr>
                <w:rFonts w:hint="eastAsia" w:ascii="仿宋_GB2312" w:eastAsia="仿宋_GB2312"/>
              </w:rPr>
            </w:pPr>
            <w:r>
              <w:rPr>
                <w:rFonts w:hint="eastAsia" w:ascii="仿宋_GB2312" w:eastAsia="仿宋_GB2312"/>
              </w:rPr>
              <w:t>数量（个）</w:t>
            </w:r>
          </w:p>
        </w:tc>
        <w:tc>
          <w:tcPr>
            <w:tcW w:w="850" w:type="dxa"/>
            <w:vAlign w:val="center"/>
          </w:tcPr>
          <w:p>
            <w:pPr>
              <w:jc w:val="center"/>
              <w:rPr>
                <w:rFonts w:hint="eastAsia" w:ascii="仿宋_GB2312" w:eastAsia="仿宋_GB2312"/>
              </w:rPr>
            </w:pPr>
            <w:r>
              <w:rPr>
                <w:rFonts w:hint="eastAsia" w:ascii="仿宋_GB2312" w:eastAsia="仿宋_GB2312"/>
              </w:rPr>
              <w:t>面积（km</w:t>
            </w:r>
            <w:r>
              <w:rPr>
                <w:rFonts w:hint="eastAsia" w:ascii="仿宋_GB2312" w:eastAsia="仿宋_GB2312"/>
                <w:vertAlign w:val="superscript"/>
              </w:rPr>
              <w:t>2</w:t>
            </w:r>
            <w:r>
              <w:rPr>
                <w:rFonts w:hint="eastAsia" w:ascii="仿宋_GB2312" w:eastAsia="仿宋_GB2312"/>
              </w:rPr>
              <w:t>）</w:t>
            </w:r>
          </w:p>
        </w:tc>
        <w:tc>
          <w:tcPr>
            <w:tcW w:w="2410" w:type="dxa"/>
            <w:vAlign w:val="center"/>
          </w:tcPr>
          <w:p>
            <w:pPr>
              <w:jc w:val="center"/>
              <w:rPr>
                <w:rFonts w:hint="eastAsia" w:ascii="仿宋_GB2312" w:eastAsia="仿宋_GB2312"/>
              </w:rPr>
            </w:pPr>
            <w:r>
              <w:rPr>
                <w:rFonts w:hint="eastAsia" w:ascii="仿宋_GB2312" w:eastAsia="仿宋_GB2312"/>
              </w:rPr>
              <w:t>涉及乡镇（街道）（个）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76" w:type="dxa"/>
            <w:vAlign w:val="center"/>
          </w:tcPr>
          <w:p>
            <w:pPr>
              <w:rPr>
                <w:rFonts w:hint="eastAsia" w:ascii="仿宋_GB2312" w:eastAsia="仿宋_GB2312"/>
              </w:rPr>
            </w:pPr>
            <w:r>
              <w:rPr>
                <w:rFonts w:hint="eastAsia" w:ascii="仿宋_GB2312" w:eastAsia="仿宋_GB2312"/>
              </w:rPr>
              <w:t>吴江区</w:t>
            </w:r>
          </w:p>
        </w:tc>
        <w:tc>
          <w:tcPr>
            <w:tcW w:w="1009" w:type="dxa"/>
            <w:vAlign w:val="center"/>
          </w:tcPr>
          <w:p>
            <w:pPr>
              <w:jc w:val="center"/>
              <w:rPr>
                <w:rFonts w:hint="eastAsia" w:ascii="仿宋_GB2312" w:eastAsia="仿宋_GB2312"/>
              </w:rPr>
            </w:pPr>
          </w:p>
        </w:tc>
        <w:tc>
          <w:tcPr>
            <w:tcW w:w="992" w:type="dxa"/>
            <w:vAlign w:val="center"/>
          </w:tcPr>
          <w:p>
            <w:pPr>
              <w:jc w:val="center"/>
              <w:rPr>
                <w:rFonts w:hint="eastAsia" w:ascii="仿宋_GB2312" w:eastAsia="仿宋_GB2312"/>
              </w:rPr>
            </w:pPr>
          </w:p>
        </w:tc>
        <w:tc>
          <w:tcPr>
            <w:tcW w:w="2268" w:type="dxa"/>
            <w:vAlign w:val="center"/>
          </w:tcPr>
          <w:p>
            <w:pPr>
              <w:jc w:val="center"/>
              <w:rPr>
                <w:rFonts w:hint="eastAsia" w:ascii="仿宋_GB2312" w:eastAsia="仿宋_GB2312"/>
              </w:rPr>
            </w:pPr>
          </w:p>
        </w:tc>
        <w:tc>
          <w:tcPr>
            <w:tcW w:w="851" w:type="dxa"/>
            <w:vAlign w:val="center"/>
          </w:tcPr>
          <w:p>
            <w:pPr>
              <w:jc w:val="center"/>
              <w:rPr>
                <w:rFonts w:hint="eastAsia" w:ascii="仿宋_GB2312" w:eastAsia="仿宋_GB2312"/>
              </w:rPr>
            </w:pPr>
          </w:p>
        </w:tc>
        <w:tc>
          <w:tcPr>
            <w:tcW w:w="850" w:type="dxa"/>
            <w:vAlign w:val="center"/>
          </w:tcPr>
          <w:p>
            <w:pPr>
              <w:jc w:val="center"/>
              <w:rPr>
                <w:rFonts w:hint="eastAsia" w:ascii="仿宋_GB2312" w:eastAsia="仿宋_GB2312"/>
              </w:rPr>
            </w:pPr>
          </w:p>
        </w:tc>
        <w:tc>
          <w:tcPr>
            <w:tcW w:w="2410" w:type="dxa"/>
            <w:vAlign w:val="center"/>
          </w:tcPr>
          <w:p>
            <w:pPr>
              <w:jc w:val="center"/>
              <w:rPr>
                <w:rFonts w:hint="eastAsia" w:ascii="仿宋_GB2312" w:eastAsia="仿宋_GB2312"/>
              </w:rPr>
            </w:pPr>
          </w:p>
        </w:tc>
      </w:tr>
    </w:tbl>
    <w:p>
      <w:pPr>
        <w:spacing w:line="560" w:lineRule="exact"/>
        <w:jc w:val="left"/>
        <w:rPr>
          <w:rStyle w:val="32"/>
          <w:rFonts w:hint="default" w:ascii="仿宋_GB2312" w:hAnsi="仿宋_GB2312" w:eastAsia="仿宋_GB2312" w:cs="仿宋_GB2312"/>
          <w:color w:val="auto"/>
          <w:sz w:val="32"/>
          <w:szCs w:val="32"/>
        </w:rPr>
      </w:pPr>
    </w:p>
    <w:p>
      <w:pPr>
        <w:spacing w:line="560" w:lineRule="exact"/>
        <w:jc w:val="center"/>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表2  某市（区）畜禽养殖禁养区信息表</w:t>
      </w:r>
    </w:p>
    <w:tbl>
      <w:tblPr>
        <w:tblStyle w:val="17"/>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418"/>
        <w:gridCol w:w="850"/>
        <w:gridCol w:w="3028"/>
        <w:gridCol w:w="1650"/>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09" w:type="dxa"/>
            <w:vAlign w:val="center"/>
          </w:tcPr>
          <w:p>
            <w:pPr>
              <w:jc w:val="center"/>
              <w:rPr>
                <w:rFonts w:hint="eastAsia" w:ascii="仿宋_GB2312" w:eastAsia="仿宋_GB2312"/>
              </w:rPr>
            </w:pPr>
            <w:r>
              <w:rPr>
                <w:rFonts w:hint="eastAsia" w:ascii="仿宋_GB2312" w:eastAsia="仿宋_GB2312"/>
              </w:rPr>
              <w:t>地区</w:t>
            </w:r>
          </w:p>
        </w:tc>
        <w:tc>
          <w:tcPr>
            <w:tcW w:w="1418" w:type="dxa"/>
            <w:vAlign w:val="center"/>
          </w:tcPr>
          <w:p>
            <w:pPr>
              <w:jc w:val="center"/>
              <w:rPr>
                <w:rFonts w:hint="eastAsia" w:ascii="仿宋_GB2312" w:eastAsia="仿宋_GB2312"/>
              </w:rPr>
            </w:pPr>
            <w:r>
              <w:rPr>
                <w:rFonts w:hint="eastAsia" w:ascii="仿宋_GB2312" w:eastAsia="仿宋_GB2312"/>
              </w:rPr>
              <w:t>名称</w:t>
            </w:r>
          </w:p>
        </w:tc>
        <w:tc>
          <w:tcPr>
            <w:tcW w:w="850" w:type="dxa"/>
            <w:vAlign w:val="center"/>
          </w:tcPr>
          <w:p>
            <w:pPr>
              <w:jc w:val="center"/>
              <w:rPr>
                <w:rFonts w:hint="eastAsia" w:ascii="仿宋_GB2312" w:eastAsia="仿宋_GB2312"/>
              </w:rPr>
            </w:pPr>
            <w:r>
              <w:rPr>
                <w:rFonts w:hint="eastAsia" w:ascii="仿宋_GB2312" w:eastAsia="仿宋_GB2312"/>
              </w:rPr>
              <w:t>编号</w:t>
            </w:r>
          </w:p>
        </w:tc>
        <w:tc>
          <w:tcPr>
            <w:tcW w:w="3028" w:type="dxa"/>
            <w:vAlign w:val="center"/>
          </w:tcPr>
          <w:p>
            <w:pPr>
              <w:jc w:val="center"/>
              <w:rPr>
                <w:rFonts w:hint="eastAsia" w:ascii="仿宋_GB2312" w:eastAsia="仿宋_GB2312"/>
              </w:rPr>
            </w:pPr>
            <w:r>
              <w:rPr>
                <w:rFonts w:hint="eastAsia" w:ascii="仿宋_GB2312" w:eastAsia="仿宋_GB2312"/>
              </w:rPr>
              <w:t>禁养区域范围</w:t>
            </w:r>
          </w:p>
        </w:tc>
        <w:tc>
          <w:tcPr>
            <w:tcW w:w="1650" w:type="dxa"/>
            <w:vAlign w:val="center"/>
          </w:tcPr>
          <w:p>
            <w:pPr>
              <w:jc w:val="center"/>
              <w:rPr>
                <w:rFonts w:hint="eastAsia" w:ascii="仿宋_GB2312" w:eastAsia="仿宋_GB2312"/>
              </w:rPr>
            </w:pPr>
            <w:r>
              <w:rPr>
                <w:rFonts w:hint="eastAsia" w:ascii="仿宋_GB2312" w:eastAsia="仿宋_GB2312"/>
              </w:rPr>
              <w:t>面积</w:t>
            </w:r>
          </w:p>
          <w:p>
            <w:pPr>
              <w:jc w:val="center"/>
              <w:rPr>
                <w:rFonts w:hint="eastAsia" w:ascii="仿宋_GB2312" w:eastAsia="仿宋_GB2312"/>
              </w:rPr>
            </w:pPr>
            <w:r>
              <w:rPr>
                <w:rFonts w:hint="eastAsia" w:ascii="仿宋_GB2312" w:eastAsia="仿宋_GB2312"/>
              </w:rPr>
              <w:t>（平方公里）</w:t>
            </w:r>
          </w:p>
        </w:tc>
        <w:tc>
          <w:tcPr>
            <w:tcW w:w="1701" w:type="dxa"/>
            <w:vAlign w:val="center"/>
          </w:tcPr>
          <w:p>
            <w:pPr>
              <w:jc w:val="center"/>
              <w:rPr>
                <w:rFonts w:hint="eastAsia" w:ascii="仿宋_GB2312" w:eastAsia="仿宋_GB2312"/>
              </w:rPr>
            </w:pPr>
            <w:r>
              <w:rPr>
                <w:rFonts w:hint="eastAsia" w:ascii="仿宋_GB2312" w:eastAsia="仿宋_GB2312"/>
              </w:rPr>
              <w:t>涉及乡镇（街道）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09" w:type="dxa"/>
            <w:vAlign w:val="center"/>
          </w:tcPr>
          <w:p>
            <w:pPr>
              <w:rPr>
                <w:rFonts w:hint="eastAsia" w:ascii="仿宋_GB2312" w:eastAsia="仿宋_GB2312"/>
              </w:rPr>
            </w:pPr>
            <w:r>
              <w:rPr>
                <w:rFonts w:hint="eastAsia" w:ascii="仿宋_GB2312" w:eastAsia="仿宋_GB2312"/>
              </w:rPr>
              <w:t>吴江区</w:t>
            </w:r>
          </w:p>
        </w:tc>
        <w:tc>
          <w:tcPr>
            <w:tcW w:w="1418" w:type="dxa"/>
            <w:vAlign w:val="center"/>
          </w:tcPr>
          <w:p>
            <w:pPr>
              <w:rPr>
                <w:rFonts w:hint="eastAsia" w:ascii="仿宋_GB2312" w:eastAsia="仿宋_GB2312"/>
              </w:rPr>
            </w:pPr>
            <w:r>
              <w:rPr>
                <w:rFonts w:hint="eastAsia" w:ascii="仿宋_GB2312" w:eastAsia="仿宋_GB2312"/>
              </w:rPr>
              <w:t>太湖庙港饮用水水源保护区禁养区</w:t>
            </w:r>
          </w:p>
        </w:tc>
        <w:tc>
          <w:tcPr>
            <w:tcW w:w="850" w:type="dxa"/>
            <w:vAlign w:val="center"/>
          </w:tcPr>
          <w:p>
            <w:pPr>
              <w:jc w:val="center"/>
              <w:rPr>
                <w:rFonts w:hint="eastAsia" w:ascii="仿宋_GB2312" w:eastAsia="仿宋_GB2312"/>
              </w:rPr>
            </w:pPr>
            <w:r>
              <w:rPr>
                <w:rFonts w:hint="eastAsia" w:ascii="仿宋_GB2312" w:eastAsia="仿宋_GB2312"/>
              </w:rPr>
              <w:t>A01</w:t>
            </w:r>
          </w:p>
        </w:tc>
        <w:tc>
          <w:tcPr>
            <w:tcW w:w="3028" w:type="dxa"/>
            <w:vAlign w:val="center"/>
          </w:tcPr>
          <w:p>
            <w:pPr>
              <w:rPr>
                <w:rFonts w:hint="eastAsia" w:ascii="仿宋_GB2312" w:eastAsia="仿宋_GB2312"/>
              </w:rPr>
            </w:pPr>
            <w:r>
              <w:rPr>
                <w:rFonts w:hint="eastAsia" w:ascii="仿宋_GB2312" w:eastAsia="仿宋_GB2312"/>
              </w:rPr>
              <w:t>一级保护区范围为：以厂取水口为中心，半径为500米的水域范围。</w:t>
            </w:r>
          </w:p>
          <w:p>
            <w:pPr>
              <w:rPr>
                <w:rFonts w:hint="eastAsia" w:ascii="仿宋_GB2312" w:eastAsia="仿宋_GB2312"/>
              </w:rPr>
            </w:pPr>
            <w:r>
              <w:rPr>
                <w:rFonts w:hint="eastAsia" w:ascii="仿宋_GB2312" w:eastAsia="仿宋_GB2312"/>
              </w:rPr>
              <w:t>二级保护区范围为：一级保护区外，外延2000米的水域范围和一级保护区陆域外，外延3000米的陆域范围。</w:t>
            </w:r>
          </w:p>
        </w:tc>
        <w:tc>
          <w:tcPr>
            <w:tcW w:w="1650" w:type="dxa"/>
            <w:vAlign w:val="center"/>
          </w:tcPr>
          <w:p>
            <w:pPr>
              <w:jc w:val="center"/>
              <w:rPr>
                <w:rFonts w:hint="eastAsia" w:ascii="仿宋_GB2312" w:eastAsia="仿宋_GB2312"/>
              </w:rPr>
            </w:pPr>
            <w:r>
              <w:rPr>
                <w:rFonts w:hint="eastAsia" w:ascii="仿宋_GB2312" w:eastAsia="仿宋_GB2312"/>
              </w:rPr>
              <w:t>27.53</w:t>
            </w:r>
          </w:p>
        </w:tc>
        <w:tc>
          <w:tcPr>
            <w:tcW w:w="1701" w:type="dxa"/>
            <w:vAlign w:val="center"/>
          </w:tcPr>
          <w:p>
            <w:pPr>
              <w:jc w:val="center"/>
              <w:rPr>
                <w:rFonts w:hint="eastAsia" w:ascii="仿宋_GB2312" w:eastAsia="仿宋_GB2312"/>
              </w:rPr>
            </w:pPr>
            <w:r>
              <w:rPr>
                <w:rFonts w:hint="eastAsia" w:ascii="仿宋_GB2312" w:eastAsia="仿宋_GB2312"/>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09" w:type="dxa"/>
            <w:vAlign w:val="center"/>
          </w:tcPr>
          <w:p>
            <w:pPr>
              <w:rPr>
                <w:rFonts w:hint="eastAsia" w:ascii="仿宋_GB2312" w:eastAsia="仿宋_GB2312"/>
              </w:rPr>
            </w:pPr>
            <w:r>
              <w:rPr>
                <w:rFonts w:hint="eastAsia" w:ascii="仿宋_GB2312" w:eastAsia="仿宋_GB2312"/>
              </w:rPr>
              <w:t>吴江区</w:t>
            </w:r>
          </w:p>
        </w:tc>
        <w:tc>
          <w:tcPr>
            <w:tcW w:w="1418" w:type="dxa"/>
            <w:vAlign w:val="center"/>
          </w:tcPr>
          <w:p>
            <w:pPr>
              <w:rPr>
                <w:rFonts w:hint="eastAsia" w:ascii="仿宋_GB2312" w:eastAsia="仿宋_GB2312"/>
              </w:rPr>
            </w:pPr>
            <w:r>
              <w:rPr>
                <w:rFonts w:hint="eastAsia" w:ascii="仿宋_GB2312" w:eastAsia="仿宋_GB2312"/>
              </w:rPr>
              <w:t>吴江铜罗森林公园禁养区</w:t>
            </w:r>
          </w:p>
        </w:tc>
        <w:tc>
          <w:tcPr>
            <w:tcW w:w="850" w:type="dxa"/>
            <w:vAlign w:val="center"/>
          </w:tcPr>
          <w:p>
            <w:pPr>
              <w:jc w:val="center"/>
              <w:rPr>
                <w:rFonts w:hint="eastAsia" w:ascii="仿宋_GB2312" w:eastAsia="仿宋_GB2312"/>
              </w:rPr>
            </w:pPr>
            <w:r>
              <w:rPr>
                <w:rFonts w:hint="eastAsia" w:ascii="仿宋_GB2312" w:eastAsia="仿宋_GB2312"/>
              </w:rPr>
              <w:t>B01</w:t>
            </w:r>
          </w:p>
        </w:tc>
        <w:tc>
          <w:tcPr>
            <w:tcW w:w="3028" w:type="dxa"/>
            <w:vAlign w:val="center"/>
          </w:tcPr>
          <w:p>
            <w:pPr>
              <w:rPr>
                <w:rFonts w:hint="eastAsia" w:ascii="仿宋_GB2312" w:eastAsia="仿宋_GB2312"/>
              </w:rPr>
            </w:pPr>
            <w:r>
              <w:rPr>
                <w:rFonts w:hint="eastAsia" w:ascii="仿宋_GB2312" w:eastAsia="仿宋_GB2312"/>
              </w:rPr>
              <w:t>东临烂溪塘，南临后村村委会南侧小河，西临紫荇塘，北临白士港、严墓塘，涉及周边严慕村、仙南村、贤胡村等三个行政村。</w:t>
            </w:r>
          </w:p>
        </w:tc>
        <w:tc>
          <w:tcPr>
            <w:tcW w:w="1650" w:type="dxa"/>
            <w:vAlign w:val="center"/>
          </w:tcPr>
          <w:p>
            <w:pPr>
              <w:jc w:val="center"/>
              <w:rPr>
                <w:rFonts w:hint="eastAsia" w:ascii="仿宋_GB2312" w:eastAsia="仿宋_GB2312"/>
              </w:rPr>
            </w:pPr>
            <w:r>
              <w:rPr>
                <w:rFonts w:hint="eastAsia" w:ascii="仿宋_GB2312" w:eastAsia="仿宋_GB2312"/>
              </w:rPr>
              <w:t>7.64</w:t>
            </w:r>
          </w:p>
        </w:tc>
        <w:tc>
          <w:tcPr>
            <w:tcW w:w="1701" w:type="dxa"/>
            <w:vAlign w:val="center"/>
          </w:tcPr>
          <w:p>
            <w:pPr>
              <w:jc w:val="center"/>
              <w:rPr>
                <w:rFonts w:hint="eastAsia" w:ascii="仿宋_GB2312" w:eastAsia="仿宋_GB2312"/>
              </w:rPr>
            </w:pPr>
            <w:r>
              <w:rPr>
                <w:rFonts w:hint="eastAsia" w:ascii="仿宋_GB2312" w:eastAsia="仿宋_GB2312"/>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09" w:type="dxa"/>
            <w:vAlign w:val="center"/>
          </w:tcPr>
          <w:p>
            <w:pPr>
              <w:rPr>
                <w:rFonts w:hint="eastAsia" w:ascii="仿宋_GB2312" w:eastAsia="仿宋_GB2312"/>
              </w:rPr>
            </w:pPr>
            <w:r>
              <w:rPr>
                <w:rFonts w:hint="eastAsia" w:ascii="仿宋_GB2312" w:eastAsia="仿宋_GB2312"/>
              </w:rPr>
              <w:t>吴江区</w:t>
            </w:r>
          </w:p>
        </w:tc>
        <w:tc>
          <w:tcPr>
            <w:tcW w:w="1418" w:type="dxa"/>
            <w:vAlign w:val="center"/>
          </w:tcPr>
          <w:p>
            <w:pPr>
              <w:rPr>
                <w:rFonts w:hint="eastAsia" w:ascii="仿宋_GB2312" w:eastAsia="仿宋_GB2312"/>
              </w:rPr>
            </w:pPr>
            <w:r>
              <w:rPr>
                <w:rFonts w:hint="eastAsia" w:ascii="仿宋_GB2312" w:eastAsia="仿宋_GB2312"/>
              </w:rPr>
              <w:t>吴江市区</w:t>
            </w:r>
            <w:r>
              <w:rPr>
                <w:rStyle w:val="32"/>
                <w:rFonts w:hint="default" w:ascii="仿宋_GB2312" w:hAnsi="仿宋_GB2312" w:eastAsia="仿宋_GB2312" w:cs="仿宋_GB2312"/>
                <w:color w:val="auto"/>
              </w:rPr>
              <w:t>禁养区</w:t>
            </w:r>
          </w:p>
        </w:tc>
        <w:tc>
          <w:tcPr>
            <w:tcW w:w="850" w:type="dxa"/>
            <w:vAlign w:val="center"/>
          </w:tcPr>
          <w:p>
            <w:pPr>
              <w:jc w:val="center"/>
              <w:rPr>
                <w:rFonts w:hint="eastAsia" w:ascii="仿宋_GB2312" w:eastAsia="仿宋_GB2312"/>
              </w:rPr>
            </w:pPr>
            <w:r>
              <w:rPr>
                <w:rFonts w:hint="eastAsia" w:ascii="仿宋_GB2312" w:eastAsia="仿宋_GB2312"/>
              </w:rPr>
              <w:t>C01</w:t>
            </w:r>
          </w:p>
        </w:tc>
        <w:tc>
          <w:tcPr>
            <w:tcW w:w="3028" w:type="dxa"/>
            <w:vAlign w:val="center"/>
          </w:tcPr>
          <w:p>
            <w:pPr>
              <w:jc w:val="center"/>
              <w:rPr>
                <w:rFonts w:hint="eastAsia" w:ascii="仿宋_GB2312" w:eastAsia="仿宋_GB2312"/>
              </w:rPr>
            </w:pPr>
            <w:r>
              <w:rPr>
                <w:rFonts w:hint="eastAsia" w:ascii="仿宋_GB2312" w:eastAsia="仿宋_GB2312"/>
              </w:rPr>
              <w:t>XX</w:t>
            </w:r>
          </w:p>
        </w:tc>
        <w:tc>
          <w:tcPr>
            <w:tcW w:w="1650" w:type="dxa"/>
            <w:vAlign w:val="center"/>
          </w:tcPr>
          <w:p>
            <w:pPr>
              <w:jc w:val="center"/>
              <w:rPr>
                <w:rFonts w:hint="eastAsia" w:ascii="仿宋_GB2312" w:eastAsia="仿宋_GB2312"/>
              </w:rPr>
            </w:pPr>
            <w:r>
              <w:rPr>
                <w:rFonts w:hint="eastAsia" w:ascii="仿宋_GB2312" w:eastAsia="仿宋_GB2312"/>
              </w:rPr>
              <w:t>XX</w:t>
            </w:r>
          </w:p>
        </w:tc>
        <w:tc>
          <w:tcPr>
            <w:tcW w:w="1701" w:type="dxa"/>
            <w:vAlign w:val="center"/>
          </w:tcPr>
          <w:p>
            <w:pPr>
              <w:jc w:val="center"/>
              <w:rPr>
                <w:rFonts w:hint="eastAsia" w:ascii="仿宋_GB2312" w:eastAsia="仿宋_GB2312"/>
              </w:rPr>
            </w:pPr>
            <w:r>
              <w:rPr>
                <w:rFonts w:hint="eastAsia" w:ascii="仿宋_GB2312" w:eastAsia="仿宋_GB2312"/>
              </w:rPr>
              <w:t>XX</w:t>
            </w:r>
          </w:p>
        </w:tc>
      </w:tr>
    </w:tbl>
    <w:p>
      <w:pPr>
        <w:spacing w:line="560" w:lineRule="exact"/>
        <w:ind w:left="1360"/>
        <w:jc w:val="left"/>
        <w:rPr>
          <w:rStyle w:val="32"/>
          <w:rFonts w:hint="default" w:ascii="仿宋_GB2312" w:hAnsi="仿宋_GB2312" w:eastAsia="仿宋_GB2312" w:cs="仿宋_GB2312"/>
          <w:color w:val="auto"/>
          <w:sz w:val="32"/>
          <w:szCs w:val="32"/>
        </w:rPr>
      </w:pPr>
    </w:p>
    <w:p>
      <w:pPr>
        <w:spacing w:line="560" w:lineRule="exact"/>
        <w:jc w:val="center"/>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表3  某市（区）畜禽养殖限养区信息表</w:t>
      </w:r>
    </w:p>
    <w:tbl>
      <w:tblPr>
        <w:tblStyle w:val="17"/>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418"/>
        <w:gridCol w:w="850"/>
        <w:gridCol w:w="3028"/>
        <w:gridCol w:w="136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trPr>
        <w:tc>
          <w:tcPr>
            <w:tcW w:w="709" w:type="dxa"/>
            <w:vAlign w:val="center"/>
          </w:tcPr>
          <w:p>
            <w:pPr>
              <w:jc w:val="center"/>
              <w:rPr>
                <w:rStyle w:val="32"/>
                <w:rFonts w:hint="default" w:ascii="仿宋_GB2312" w:hAnsi="仿宋_GB2312" w:eastAsia="仿宋_GB2312" w:cs="仿宋_GB2312"/>
                <w:color w:val="auto"/>
              </w:rPr>
            </w:pPr>
            <w:r>
              <w:rPr>
                <w:rStyle w:val="32"/>
                <w:rFonts w:hint="default" w:ascii="仿宋_GB2312" w:hAnsi="仿宋_GB2312" w:eastAsia="仿宋_GB2312" w:cs="仿宋_GB2312"/>
                <w:color w:val="auto"/>
              </w:rPr>
              <w:t>地区</w:t>
            </w:r>
          </w:p>
        </w:tc>
        <w:tc>
          <w:tcPr>
            <w:tcW w:w="1418" w:type="dxa"/>
            <w:vAlign w:val="center"/>
          </w:tcPr>
          <w:p>
            <w:pPr>
              <w:jc w:val="center"/>
              <w:rPr>
                <w:rStyle w:val="32"/>
                <w:rFonts w:hint="default" w:ascii="仿宋_GB2312" w:hAnsi="仿宋_GB2312" w:eastAsia="仿宋_GB2312" w:cs="仿宋_GB2312"/>
                <w:color w:val="auto"/>
              </w:rPr>
            </w:pPr>
            <w:r>
              <w:rPr>
                <w:rStyle w:val="32"/>
                <w:rFonts w:hint="default" w:ascii="仿宋_GB2312" w:hAnsi="仿宋_GB2312" w:eastAsia="仿宋_GB2312" w:cs="仿宋_GB2312"/>
                <w:color w:val="auto"/>
              </w:rPr>
              <w:t>名称</w:t>
            </w:r>
          </w:p>
        </w:tc>
        <w:tc>
          <w:tcPr>
            <w:tcW w:w="850" w:type="dxa"/>
            <w:vAlign w:val="center"/>
          </w:tcPr>
          <w:p>
            <w:pPr>
              <w:jc w:val="center"/>
              <w:rPr>
                <w:rStyle w:val="32"/>
                <w:rFonts w:hint="default" w:ascii="仿宋_GB2312" w:hAnsi="仿宋_GB2312" w:eastAsia="仿宋_GB2312" w:cs="仿宋_GB2312"/>
                <w:color w:val="auto"/>
              </w:rPr>
            </w:pPr>
            <w:r>
              <w:rPr>
                <w:rStyle w:val="32"/>
                <w:rFonts w:hint="default" w:ascii="仿宋_GB2312" w:hAnsi="仿宋_GB2312" w:eastAsia="仿宋_GB2312" w:cs="仿宋_GB2312"/>
                <w:color w:val="auto"/>
              </w:rPr>
              <w:t>编号</w:t>
            </w:r>
          </w:p>
        </w:tc>
        <w:tc>
          <w:tcPr>
            <w:tcW w:w="3028" w:type="dxa"/>
            <w:vAlign w:val="center"/>
          </w:tcPr>
          <w:p>
            <w:pPr>
              <w:jc w:val="center"/>
              <w:rPr>
                <w:rStyle w:val="32"/>
                <w:rFonts w:hint="default" w:ascii="仿宋_GB2312" w:hAnsi="仿宋_GB2312" w:eastAsia="仿宋_GB2312" w:cs="仿宋_GB2312"/>
                <w:color w:val="auto"/>
              </w:rPr>
            </w:pPr>
            <w:r>
              <w:rPr>
                <w:rStyle w:val="32"/>
                <w:rFonts w:hint="default" w:ascii="仿宋_GB2312" w:hAnsi="仿宋_GB2312" w:eastAsia="仿宋_GB2312" w:cs="仿宋_GB2312"/>
                <w:color w:val="auto"/>
              </w:rPr>
              <w:t>限养区域范围</w:t>
            </w:r>
          </w:p>
        </w:tc>
        <w:tc>
          <w:tcPr>
            <w:tcW w:w="1366" w:type="dxa"/>
            <w:vAlign w:val="center"/>
          </w:tcPr>
          <w:p>
            <w:pPr>
              <w:jc w:val="center"/>
              <w:rPr>
                <w:rStyle w:val="32"/>
                <w:rFonts w:hint="default" w:ascii="仿宋_GB2312" w:hAnsi="仿宋_GB2312" w:eastAsia="仿宋_GB2312" w:cs="仿宋_GB2312"/>
                <w:color w:val="auto"/>
              </w:rPr>
            </w:pPr>
            <w:r>
              <w:rPr>
                <w:rStyle w:val="32"/>
                <w:rFonts w:hint="default" w:ascii="仿宋_GB2312" w:hAnsi="仿宋_GB2312" w:eastAsia="仿宋_GB2312" w:cs="仿宋_GB2312"/>
                <w:color w:val="auto"/>
              </w:rPr>
              <w:t>面积（平方公里）</w:t>
            </w:r>
          </w:p>
        </w:tc>
        <w:tc>
          <w:tcPr>
            <w:tcW w:w="1843" w:type="dxa"/>
            <w:vAlign w:val="center"/>
          </w:tcPr>
          <w:p>
            <w:pPr>
              <w:jc w:val="center"/>
              <w:rPr>
                <w:rStyle w:val="32"/>
                <w:rFonts w:hint="default" w:ascii="仿宋_GB2312" w:hAnsi="仿宋_GB2312" w:eastAsia="仿宋_GB2312" w:cs="仿宋_GB2312"/>
                <w:color w:val="auto"/>
              </w:rPr>
            </w:pPr>
            <w:r>
              <w:rPr>
                <w:rStyle w:val="32"/>
                <w:rFonts w:hint="default" w:ascii="仿宋_GB2312" w:hAnsi="仿宋_GB2312" w:eastAsia="仿宋_GB2312" w:cs="仿宋_GB2312"/>
                <w:color w:val="auto"/>
              </w:rPr>
              <w:t>涉及乡镇（街道）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09" w:type="dxa"/>
            <w:vAlign w:val="center"/>
          </w:tcPr>
          <w:p>
            <w:pPr>
              <w:jc w:val="center"/>
              <w:rPr>
                <w:rStyle w:val="32"/>
                <w:rFonts w:hint="default" w:ascii="仿宋_GB2312" w:hAnsi="仿宋_GB2312" w:eastAsia="仿宋_GB2312" w:cs="仿宋_GB2312"/>
                <w:color w:val="auto"/>
              </w:rPr>
            </w:pPr>
            <w:r>
              <w:rPr>
                <w:rStyle w:val="32"/>
                <w:rFonts w:hint="default" w:ascii="仿宋_GB2312" w:hAnsi="仿宋_GB2312" w:eastAsia="仿宋_GB2312" w:cs="仿宋_GB2312"/>
                <w:color w:val="auto"/>
              </w:rPr>
              <w:t>吴江区</w:t>
            </w:r>
          </w:p>
        </w:tc>
        <w:tc>
          <w:tcPr>
            <w:tcW w:w="1418" w:type="dxa"/>
            <w:vAlign w:val="center"/>
          </w:tcPr>
          <w:p>
            <w:pPr>
              <w:rPr>
                <w:rStyle w:val="32"/>
                <w:rFonts w:hint="default" w:ascii="仿宋_GB2312" w:hAnsi="仿宋_GB2312" w:eastAsia="仿宋_GB2312" w:cs="仿宋_GB2312"/>
                <w:color w:val="auto"/>
              </w:rPr>
            </w:pPr>
            <w:r>
              <w:rPr>
                <w:rStyle w:val="32"/>
                <w:rFonts w:hint="default" w:ascii="仿宋_GB2312" w:hAnsi="仿宋_GB2312" w:eastAsia="仿宋_GB2312" w:cs="仿宋_GB2312"/>
                <w:color w:val="auto"/>
              </w:rPr>
              <w:t>太湖保护区限养区</w:t>
            </w:r>
          </w:p>
        </w:tc>
        <w:tc>
          <w:tcPr>
            <w:tcW w:w="850" w:type="dxa"/>
            <w:vAlign w:val="center"/>
          </w:tcPr>
          <w:p>
            <w:pPr>
              <w:jc w:val="center"/>
              <w:rPr>
                <w:rStyle w:val="32"/>
                <w:rFonts w:hint="default" w:ascii="仿宋_GB2312" w:hAnsi="仿宋_GB2312" w:eastAsia="仿宋_GB2312" w:cs="仿宋_GB2312"/>
                <w:color w:val="auto"/>
              </w:rPr>
            </w:pPr>
            <w:r>
              <w:rPr>
                <w:rFonts w:hint="eastAsia" w:ascii="仿宋_GB2312" w:hAnsi="宋体" w:eastAsia="仿宋_GB2312"/>
                <w:szCs w:val="21"/>
              </w:rPr>
              <w:t>X01</w:t>
            </w:r>
          </w:p>
        </w:tc>
        <w:tc>
          <w:tcPr>
            <w:tcW w:w="3028" w:type="dxa"/>
            <w:vAlign w:val="center"/>
          </w:tcPr>
          <w:p>
            <w:pPr>
              <w:rPr>
                <w:rStyle w:val="32"/>
                <w:rFonts w:hint="default" w:ascii="仿宋_GB2312" w:hAnsi="仿宋_GB2312" w:eastAsia="仿宋_GB2312" w:cs="仿宋_GB2312"/>
                <w:color w:val="auto"/>
              </w:rPr>
            </w:pPr>
            <w:r>
              <w:rPr>
                <w:rFonts w:hint="eastAsia" w:ascii="仿宋_GB2312" w:hAnsi="宋体" w:eastAsia="仿宋_GB2312"/>
                <w:szCs w:val="21"/>
              </w:rPr>
              <w:t>XX</w:t>
            </w:r>
          </w:p>
        </w:tc>
        <w:tc>
          <w:tcPr>
            <w:tcW w:w="1366" w:type="dxa"/>
            <w:vAlign w:val="center"/>
          </w:tcPr>
          <w:p>
            <w:pPr>
              <w:jc w:val="center"/>
              <w:rPr>
                <w:rStyle w:val="32"/>
                <w:rFonts w:hint="default" w:ascii="仿宋_GB2312" w:hAnsi="仿宋_GB2312" w:eastAsia="仿宋_GB2312" w:cs="仿宋_GB2312"/>
                <w:color w:val="auto"/>
              </w:rPr>
            </w:pPr>
            <w:r>
              <w:rPr>
                <w:rFonts w:hint="eastAsia" w:ascii="仿宋_GB2312" w:hAnsi="宋体" w:eastAsia="仿宋_GB2312"/>
                <w:szCs w:val="21"/>
              </w:rPr>
              <w:t>XX</w:t>
            </w:r>
          </w:p>
        </w:tc>
        <w:tc>
          <w:tcPr>
            <w:tcW w:w="1843" w:type="dxa"/>
            <w:vAlign w:val="center"/>
          </w:tcPr>
          <w:p>
            <w:pPr>
              <w:jc w:val="center"/>
              <w:rPr>
                <w:rStyle w:val="32"/>
                <w:rFonts w:hint="default" w:ascii="仿宋_GB2312" w:hAnsi="仿宋_GB2312" w:eastAsia="仿宋_GB2312" w:cs="仿宋_GB2312"/>
                <w:color w:val="auto"/>
              </w:rPr>
            </w:pPr>
            <w:r>
              <w:rPr>
                <w:rFonts w:hint="eastAsia" w:ascii="仿宋_GB2312" w:hAnsi="宋体" w:eastAsia="仿宋_GB2312"/>
                <w:szCs w:val="21"/>
              </w:rPr>
              <w:t>XX</w:t>
            </w:r>
          </w:p>
        </w:tc>
      </w:tr>
    </w:tbl>
    <w:p>
      <w:pPr>
        <w:spacing w:line="560" w:lineRule="exact"/>
        <w:ind w:left="1360"/>
        <w:jc w:val="left"/>
        <w:rPr>
          <w:rStyle w:val="32"/>
          <w:rFonts w:hint="default" w:ascii="仿宋_GB2312" w:hAnsi="仿宋_GB2312" w:eastAsia="仿宋_GB2312" w:cs="仿宋_GB2312"/>
          <w:color w:val="auto"/>
          <w:sz w:val="32"/>
          <w:szCs w:val="32"/>
        </w:rPr>
      </w:pPr>
    </w:p>
    <w:p>
      <w:pPr>
        <w:spacing w:line="560" w:lineRule="exact"/>
        <w:ind w:firstLine="640" w:firstLineChars="200"/>
        <w:jc w:val="left"/>
        <w:rPr>
          <w:rStyle w:val="32"/>
          <w:rFonts w:hint="default" w:ascii="仿宋_GB2312" w:hAnsi="仿宋_GB2312" w:eastAsia="仿宋_GB2312" w:cs="仿宋_GB2312"/>
          <w:color w:val="auto"/>
          <w:sz w:val="32"/>
          <w:szCs w:val="32"/>
        </w:rPr>
      </w:pPr>
      <w:r>
        <w:rPr>
          <w:rStyle w:val="32"/>
          <w:rFonts w:hint="default" w:ascii="仿宋_GB2312" w:hAnsi="仿宋_GB2312" w:eastAsia="仿宋_GB2312" w:cs="仿宋_GB2312"/>
          <w:color w:val="auto"/>
          <w:sz w:val="32"/>
          <w:szCs w:val="32"/>
        </w:rPr>
        <w:t>附图：某市（区）畜禽养殖禁养限养区分布图</w:t>
      </w:r>
    </w:p>
    <w:p>
      <w:pPr>
        <w:jc w:val="center"/>
        <w:rPr>
          <w:rFonts w:ascii="仿宋_GB2312" w:eastAsia="仿宋_GB2312"/>
          <w:sz w:val="28"/>
          <w:szCs w:val="28"/>
        </w:rPr>
      </w:pPr>
    </w:p>
    <w:sectPr>
      <w:footerReference r:id="rId7" w:type="default"/>
      <w:pgSz w:w="11907" w:h="16840"/>
      <w:pgMar w:top="930" w:right="1043" w:bottom="1202" w:left="1400"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华康简标题宋">
    <w:altName w:val="宋体"/>
    <w:panose1 w:val="00000000000000000000"/>
    <w:charset w:val="86"/>
    <w:family w:val="modern"/>
    <w:pitch w:val="default"/>
    <w:sig w:usb0="00000000" w:usb1="00000000" w:usb2="00000010" w:usb3="00000000" w:csb0="00040000" w:csb1="00000000"/>
  </w:font>
  <w:font w:name="方正小标宋_GBK">
    <w:altName w:val="仿宋_GB2312"/>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9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kv3bcBAABUAwAADgAAAGRycy9lMm9Eb2MueG1srVNLbtswEN0HyB0I&#10;7mPJD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OS/d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F51"/>
    <w:multiLevelType w:val="multilevel"/>
    <w:tmpl w:val="04573F51"/>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77C7CF7"/>
    <w:multiLevelType w:val="singleLevel"/>
    <w:tmpl w:val="577C7CF7"/>
    <w:lvl w:ilvl="0" w:tentative="0">
      <w:start w:val="1"/>
      <w:numFmt w:val="decimal"/>
      <w:suff w:val="nothing"/>
      <w:lvlText w:val="（%1）"/>
      <w:lvlJc w:val="left"/>
    </w:lvl>
  </w:abstractNum>
  <w:abstractNum w:abstractNumId="2">
    <w:nsid w:val="577C82D8"/>
    <w:multiLevelType w:val="singleLevel"/>
    <w:tmpl w:val="577C82D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76D"/>
    <w:rsid w:val="000459C5"/>
    <w:rsid w:val="00090226"/>
    <w:rsid w:val="000B52F7"/>
    <w:rsid w:val="000C54E6"/>
    <w:rsid w:val="0011183A"/>
    <w:rsid w:val="00142BB3"/>
    <w:rsid w:val="00172A27"/>
    <w:rsid w:val="001E45DA"/>
    <w:rsid w:val="002552AA"/>
    <w:rsid w:val="002929D5"/>
    <w:rsid w:val="002E271E"/>
    <w:rsid w:val="0033634E"/>
    <w:rsid w:val="003738D1"/>
    <w:rsid w:val="00394C3E"/>
    <w:rsid w:val="003A54EF"/>
    <w:rsid w:val="003B14F5"/>
    <w:rsid w:val="003C46C0"/>
    <w:rsid w:val="003F6494"/>
    <w:rsid w:val="004278A4"/>
    <w:rsid w:val="00493011"/>
    <w:rsid w:val="00514C21"/>
    <w:rsid w:val="00524579"/>
    <w:rsid w:val="00532817"/>
    <w:rsid w:val="00557514"/>
    <w:rsid w:val="005D116F"/>
    <w:rsid w:val="00630F79"/>
    <w:rsid w:val="007026E0"/>
    <w:rsid w:val="0071440E"/>
    <w:rsid w:val="0078319A"/>
    <w:rsid w:val="007E728D"/>
    <w:rsid w:val="007F664F"/>
    <w:rsid w:val="008C0C30"/>
    <w:rsid w:val="008C392D"/>
    <w:rsid w:val="008F3F95"/>
    <w:rsid w:val="009105A3"/>
    <w:rsid w:val="0094223C"/>
    <w:rsid w:val="00955AA9"/>
    <w:rsid w:val="009A1A80"/>
    <w:rsid w:val="009D2FBA"/>
    <w:rsid w:val="00A56A30"/>
    <w:rsid w:val="00AC0709"/>
    <w:rsid w:val="00B133F2"/>
    <w:rsid w:val="00B167C7"/>
    <w:rsid w:val="00B20C37"/>
    <w:rsid w:val="00B41828"/>
    <w:rsid w:val="00B62190"/>
    <w:rsid w:val="00B83B1B"/>
    <w:rsid w:val="00C22D52"/>
    <w:rsid w:val="00C76EB1"/>
    <w:rsid w:val="00CD20F0"/>
    <w:rsid w:val="00DC527C"/>
    <w:rsid w:val="00E65E8B"/>
    <w:rsid w:val="00EA2648"/>
    <w:rsid w:val="00EE5F95"/>
    <w:rsid w:val="00F204DC"/>
    <w:rsid w:val="00FA38C0"/>
    <w:rsid w:val="06B66360"/>
    <w:rsid w:val="46F41639"/>
    <w:rsid w:val="7779477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99" w:semiHidden="0"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99"/>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4"/>
    <w:uiPriority w:val="99"/>
    <w:rPr>
      <w:b/>
      <w:bCs/>
    </w:rPr>
  </w:style>
  <w:style w:type="paragraph" w:styleId="3">
    <w:name w:val="annotation text"/>
    <w:basedOn w:val="1"/>
    <w:link w:val="22"/>
    <w:uiPriority w:val="99"/>
    <w:pPr>
      <w:jc w:val="left"/>
    </w:pPr>
  </w:style>
  <w:style w:type="paragraph" w:styleId="4">
    <w:name w:val="Body Text"/>
    <w:basedOn w:val="1"/>
    <w:link w:val="27"/>
    <w:uiPriority w:val="99"/>
    <w:pPr>
      <w:spacing w:after="120"/>
    </w:pPr>
  </w:style>
  <w:style w:type="paragraph" w:styleId="5">
    <w:name w:val="Body Text Indent"/>
    <w:basedOn w:val="1"/>
    <w:link w:val="18"/>
    <w:uiPriority w:val="99"/>
    <w:pPr>
      <w:spacing w:after="120"/>
      <w:ind w:left="420" w:leftChars="200"/>
    </w:pPr>
  </w:style>
  <w:style w:type="paragraph" w:styleId="6">
    <w:name w:val="Block Text"/>
    <w:basedOn w:val="1"/>
    <w:uiPriority w:val="99"/>
    <w:pPr>
      <w:autoSpaceDE w:val="0"/>
      <w:autoSpaceDN w:val="0"/>
      <w:adjustRightInd w:val="0"/>
      <w:spacing w:line="240" w:lineRule="atLeast"/>
      <w:ind w:left="360" w:right="2134" w:firstLine="420"/>
    </w:pPr>
    <w:rPr>
      <w:rFonts w:ascii="仿宋_GB2312" w:eastAsia="仿宋_GB2312"/>
      <w:color w:val="000000"/>
      <w:kern w:val="0"/>
      <w:sz w:val="30"/>
      <w:szCs w:val="30"/>
    </w:rPr>
  </w:style>
  <w:style w:type="paragraph" w:styleId="7">
    <w:name w:val="Plain Text"/>
    <w:basedOn w:val="1"/>
    <w:link w:val="25"/>
    <w:uiPriority w:val="99"/>
    <w:rPr>
      <w:rFonts w:ascii="宋体" w:hAnsi="Courier New"/>
      <w:szCs w:val="20"/>
    </w:rPr>
  </w:style>
  <w:style w:type="paragraph" w:styleId="8">
    <w:name w:val="Date"/>
    <w:basedOn w:val="1"/>
    <w:next w:val="1"/>
    <w:link w:val="21"/>
    <w:uiPriority w:val="99"/>
    <w:pPr>
      <w:ind w:left="100" w:leftChars="2500"/>
    </w:pPr>
  </w:style>
  <w:style w:type="paragraph" w:styleId="9">
    <w:name w:val="Balloon Text"/>
    <w:basedOn w:val="1"/>
    <w:link w:val="26"/>
    <w:uiPriority w:val="99"/>
    <w:rPr>
      <w:sz w:val="18"/>
      <w:szCs w:val="18"/>
    </w:rPr>
  </w:style>
  <w:style w:type="paragraph" w:styleId="10">
    <w:name w:val="footer"/>
    <w:basedOn w:val="1"/>
    <w:link w:val="23"/>
    <w:uiPriority w:val="99"/>
    <w:pPr>
      <w:tabs>
        <w:tab w:val="center" w:pos="4153"/>
        <w:tab w:val="right" w:pos="8306"/>
      </w:tabs>
      <w:snapToGrid w:val="0"/>
      <w:jc w:val="left"/>
    </w:pPr>
    <w:rPr>
      <w:sz w:val="18"/>
      <w:szCs w:val="18"/>
    </w:rPr>
  </w:style>
  <w:style w:type="paragraph" w:styleId="11">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iPriority w:val="99"/>
    <w:pPr>
      <w:widowControl/>
      <w:spacing w:before="100" w:beforeAutospacing="1" w:after="100" w:afterAutospacing="1"/>
      <w:jc w:val="left"/>
    </w:pPr>
    <w:rPr>
      <w:rFonts w:ascii="宋体" w:hAnsi="宋体" w:cs="宋体"/>
      <w:kern w:val="0"/>
      <w:sz w:val="24"/>
    </w:rPr>
  </w:style>
  <w:style w:type="character" w:styleId="14">
    <w:name w:val="page number"/>
    <w:basedOn w:val="13"/>
    <w:qFormat/>
    <w:uiPriority w:val="99"/>
    <w:rPr>
      <w:rFonts w:cs="Times New Roman"/>
    </w:rPr>
  </w:style>
  <w:style w:type="character" w:styleId="15">
    <w:name w:val="Hyperlink"/>
    <w:basedOn w:val="13"/>
    <w:qFormat/>
    <w:uiPriority w:val="99"/>
    <w:rPr>
      <w:rFonts w:cs="Times New Roman"/>
      <w:color w:val="0000FF"/>
      <w:u w:val="single"/>
    </w:rPr>
  </w:style>
  <w:style w:type="character" w:styleId="16">
    <w:name w:val="annotation reference"/>
    <w:basedOn w:val="13"/>
    <w:qFormat/>
    <w:uiPriority w:val="99"/>
    <w:rPr>
      <w:rFonts w:cs="Times New Roman"/>
      <w:sz w:val="21"/>
      <w:szCs w:val="21"/>
    </w:rPr>
  </w:style>
  <w:style w:type="character" w:customStyle="1" w:styleId="18">
    <w:name w:val="Body Text Indent Char"/>
    <w:basedOn w:val="13"/>
    <w:link w:val="5"/>
    <w:semiHidden/>
    <w:uiPriority w:val="99"/>
    <w:rPr>
      <w:szCs w:val="24"/>
    </w:rPr>
  </w:style>
  <w:style w:type="paragraph" w:customStyle="1" w:styleId="19">
    <w:name w:val="p0"/>
    <w:basedOn w:val="1"/>
    <w:uiPriority w:val="99"/>
    <w:pPr>
      <w:widowControl/>
    </w:pPr>
    <w:rPr>
      <w:kern w:val="0"/>
      <w:szCs w:val="21"/>
    </w:rPr>
  </w:style>
  <w:style w:type="character" w:customStyle="1" w:styleId="20">
    <w:name w:val="Header Char"/>
    <w:basedOn w:val="13"/>
    <w:link w:val="11"/>
    <w:locked/>
    <w:uiPriority w:val="99"/>
    <w:rPr>
      <w:rFonts w:cs="Times New Roman"/>
      <w:kern w:val="2"/>
      <w:sz w:val="18"/>
      <w:szCs w:val="18"/>
    </w:rPr>
  </w:style>
  <w:style w:type="character" w:customStyle="1" w:styleId="21">
    <w:name w:val="Date Char"/>
    <w:basedOn w:val="13"/>
    <w:link w:val="8"/>
    <w:semiHidden/>
    <w:uiPriority w:val="99"/>
    <w:rPr>
      <w:szCs w:val="24"/>
    </w:rPr>
  </w:style>
  <w:style w:type="character" w:customStyle="1" w:styleId="22">
    <w:name w:val="Comment Text Char"/>
    <w:basedOn w:val="13"/>
    <w:link w:val="3"/>
    <w:semiHidden/>
    <w:uiPriority w:val="99"/>
    <w:rPr>
      <w:szCs w:val="24"/>
    </w:rPr>
  </w:style>
  <w:style w:type="character" w:customStyle="1" w:styleId="23">
    <w:name w:val="Footer Char"/>
    <w:basedOn w:val="13"/>
    <w:link w:val="10"/>
    <w:semiHidden/>
    <w:uiPriority w:val="99"/>
    <w:rPr>
      <w:sz w:val="18"/>
      <w:szCs w:val="18"/>
    </w:rPr>
  </w:style>
  <w:style w:type="character" w:customStyle="1" w:styleId="24">
    <w:name w:val="Comment Subject Char"/>
    <w:basedOn w:val="22"/>
    <w:link w:val="2"/>
    <w:semiHidden/>
    <w:uiPriority w:val="99"/>
    <w:rPr>
      <w:b/>
      <w:bCs/>
    </w:rPr>
  </w:style>
  <w:style w:type="character" w:customStyle="1" w:styleId="25">
    <w:name w:val="Plain Text Char"/>
    <w:basedOn w:val="13"/>
    <w:link w:val="7"/>
    <w:semiHidden/>
    <w:uiPriority w:val="99"/>
    <w:rPr>
      <w:rFonts w:ascii="宋体" w:hAnsi="Courier New" w:cs="Courier New"/>
      <w:szCs w:val="21"/>
    </w:rPr>
  </w:style>
  <w:style w:type="character" w:customStyle="1" w:styleId="26">
    <w:name w:val="Balloon Text Char"/>
    <w:basedOn w:val="13"/>
    <w:link w:val="9"/>
    <w:semiHidden/>
    <w:uiPriority w:val="99"/>
    <w:rPr>
      <w:sz w:val="0"/>
      <w:szCs w:val="0"/>
    </w:rPr>
  </w:style>
  <w:style w:type="character" w:customStyle="1" w:styleId="27">
    <w:name w:val="Body Text Char"/>
    <w:basedOn w:val="13"/>
    <w:link w:val="4"/>
    <w:semiHidden/>
    <w:uiPriority w:val="99"/>
    <w:rPr>
      <w:szCs w:val="24"/>
    </w:rPr>
  </w:style>
  <w:style w:type="paragraph" w:customStyle="1" w:styleId="28">
    <w:name w:val="Char Char Char Char Char Char Char Char Char Char Char Char Char"/>
    <w:basedOn w:val="1"/>
    <w:uiPriority w:val="99"/>
    <w:pPr>
      <w:widowControl/>
      <w:spacing w:after="160" w:line="240" w:lineRule="exact"/>
      <w:jc w:val="left"/>
    </w:pPr>
    <w:rPr>
      <w:rFonts w:ascii="Arial" w:hAnsi="Arial" w:cs="Verdana"/>
      <w:b/>
      <w:kern w:val="0"/>
      <w:sz w:val="24"/>
      <w:lang w:eastAsia="en-US"/>
    </w:rPr>
  </w:style>
  <w:style w:type="paragraph" w:customStyle="1" w:styleId="29">
    <w:name w:val="Char"/>
    <w:basedOn w:val="1"/>
    <w:uiPriority w:val="99"/>
    <w:pPr>
      <w:spacing w:line="360" w:lineRule="auto"/>
      <w:ind w:firstLine="200" w:firstLineChars="200"/>
    </w:pPr>
  </w:style>
  <w:style w:type="paragraph" w:customStyle="1" w:styleId="30">
    <w:name w:val="样式2"/>
    <w:basedOn w:val="1"/>
    <w:uiPriority w:val="99"/>
    <w:pPr>
      <w:jc w:val="center"/>
    </w:pPr>
    <w:rPr>
      <w:rFonts w:eastAsia="华康简标题宋"/>
      <w:sz w:val="44"/>
    </w:rPr>
  </w:style>
  <w:style w:type="paragraph" w:customStyle="1" w:styleId="31">
    <w:name w:val="标题1"/>
    <w:basedOn w:val="1"/>
    <w:next w:val="1"/>
    <w:uiPriority w:val="99"/>
    <w:pPr>
      <w:tabs>
        <w:tab w:val="left" w:pos="9193"/>
        <w:tab w:val="left" w:pos="9827"/>
      </w:tabs>
      <w:spacing w:line="700" w:lineRule="atLeast"/>
      <w:jc w:val="center"/>
    </w:pPr>
    <w:rPr>
      <w:rFonts w:eastAsia="方正小标宋_GBK"/>
      <w:sz w:val="44"/>
      <w:szCs w:val="20"/>
    </w:rPr>
  </w:style>
  <w:style w:type="character" w:customStyle="1" w:styleId="32">
    <w:name w:val="hei141"/>
    <w:basedOn w:val="13"/>
    <w:qFormat/>
    <w:uiPriority w:val="0"/>
    <w:rPr>
      <w:rFonts w:hint="eastAsia" w:ascii="宋体" w:hAnsi="宋体" w:eastAsia="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Pages>
  <Words>122</Words>
  <Characters>700</Characters>
  <Lines>0</Lines>
  <Paragraphs>0</Paragraphs>
  <TotalTime>0</TotalTime>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2015-09-29T01:36:00Z</dcterms:created>
  <dc:creator>陈萍(chen_p)</dc:creator>
  <cp:lastModifiedBy>柳奇</cp:lastModifiedBy>
  <cp:lastPrinted>2015-02-11T01:41:00Z</cp:lastPrinted>
  <dcterms:modified xsi:type="dcterms:W3CDTF">2016-07-18T03:39:59Z</dcterms:modified>
  <dc:title>关于开展环保系统政风行风情况社会调查的通知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