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2C7E6">
      <w:pPr>
        <w:spacing w:line="590" w:lineRule="exact"/>
        <w:jc w:val="left"/>
        <w:rPr>
          <w:rFonts w:ascii="Times New Roman" w:hAnsi="Times New Roman" w:eastAsia="黑体"/>
          <w:color w:val="000000"/>
          <w:szCs w:val="32"/>
        </w:rPr>
      </w:pPr>
      <w:r>
        <w:rPr>
          <w:rFonts w:ascii="Times New Roman" w:hAnsi="Times New Roman" w:eastAsia="黑体"/>
          <w:color w:val="000000"/>
          <w:szCs w:val="32"/>
        </w:rPr>
        <w:t>附件1</w:t>
      </w:r>
    </w:p>
    <w:p w14:paraId="51ECE118">
      <w:pPr>
        <w:spacing w:before="156" w:beforeLines="50" w:line="590" w:lineRule="exact"/>
        <w:jc w:val="center"/>
        <w:rPr>
          <w:rFonts w:ascii="Times New Roman" w:hAnsi="Times New Roman" w:eastAsia="方正小标宋_GBK"/>
          <w:color w:val="000000"/>
          <w:sz w:val="44"/>
          <w:szCs w:val="44"/>
        </w:rPr>
      </w:pPr>
      <w:r>
        <w:rPr>
          <w:rFonts w:ascii="Times New Roman" w:hAnsi="Times New Roman" w:eastAsia="方正小标宋_GBK"/>
          <w:color w:val="000000"/>
          <w:sz w:val="44"/>
          <w:szCs w:val="44"/>
        </w:rPr>
        <w:t>202</w:t>
      </w:r>
      <w:r>
        <w:rPr>
          <w:rFonts w:hint="eastAsia" w:ascii="Times New Roman" w:hAnsi="Times New Roman" w:eastAsia="方正小标宋_GBK"/>
          <w:color w:val="000000"/>
          <w:sz w:val="44"/>
          <w:szCs w:val="44"/>
        </w:rPr>
        <w:t>6</w:t>
      </w:r>
      <w:r>
        <w:rPr>
          <w:rFonts w:ascii="Times New Roman" w:hAnsi="Times New Roman" w:eastAsia="方正小标宋_GBK"/>
          <w:color w:val="000000"/>
          <w:sz w:val="44"/>
          <w:szCs w:val="44"/>
        </w:rPr>
        <w:t>年度江苏省苏州环境监测中心</w:t>
      </w:r>
    </w:p>
    <w:p w14:paraId="28A9D209">
      <w:pPr>
        <w:spacing w:line="590" w:lineRule="exact"/>
        <w:jc w:val="center"/>
        <w:rPr>
          <w:rFonts w:ascii="Times New Roman" w:hAnsi="Times New Roman" w:eastAsia="方正小标宋_GBK"/>
          <w:color w:val="000000"/>
          <w:sz w:val="44"/>
          <w:szCs w:val="44"/>
        </w:rPr>
      </w:pPr>
      <w:r>
        <w:rPr>
          <w:rFonts w:ascii="Times New Roman" w:hAnsi="Times New Roman" w:eastAsia="方正小标宋_GBK"/>
          <w:color w:val="000000"/>
          <w:sz w:val="44"/>
          <w:szCs w:val="44"/>
        </w:rPr>
        <w:t>自主立项科研项目申报指南</w:t>
      </w:r>
    </w:p>
    <w:p w14:paraId="5A80CD26">
      <w:pPr>
        <w:spacing w:line="590" w:lineRule="exact"/>
        <w:jc w:val="center"/>
        <w:rPr>
          <w:rFonts w:ascii="Times New Roman" w:hAnsi="Times New Roman" w:eastAsia="方正小标宋_GBK"/>
          <w:color w:val="000000"/>
          <w:sz w:val="44"/>
          <w:szCs w:val="44"/>
        </w:rPr>
      </w:pPr>
    </w:p>
    <w:p w14:paraId="7030873F">
      <w:pPr>
        <w:adjustRightInd w:val="0"/>
        <w:snapToGrid w:val="0"/>
        <w:spacing w:line="590" w:lineRule="exact"/>
        <w:ind w:firstLine="640" w:firstLineChars="200"/>
        <w:outlineLvl w:val="0"/>
        <w:rPr>
          <w:rFonts w:ascii="Times New Roman" w:hAnsi="Times New Roman" w:eastAsia="方正仿宋_GBK"/>
          <w:szCs w:val="32"/>
        </w:rPr>
      </w:pPr>
      <w:r>
        <w:rPr>
          <w:rFonts w:ascii="Times New Roman" w:hAnsi="Times New Roman" w:eastAsia="方正仿宋_GBK"/>
          <w:szCs w:val="32"/>
        </w:rPr>
        <w:t>为强化监测科研创新在生态环境监测中的支撑引领作用，重点围绕</w:t>
      </w:r>
      <w:r>
        <w:rPr>
          <w:rFonts w:hint="eastAsia" w:ascii="Times New Roman" w:hAnsi="Times New Roman" w:eastAsia="方正仿宋_GBK"/>
          <w:szCs w:val="32"/>
        </w:rPr>
        <w:t>湖泊</w:t>
      </w:r>
      <w:r>
        <w:rPr>
          <w:rFonts w:ascii="Times New Roman" w:hAnsi="Times New Roman" w:eastAsia="方正仿宋_GBK"/>
          <w:szCs w:val="32"/>
        </w:rPr>
        <w:t>水质藻情、</w:t>
      </w:r>
      <w:r>
        <w:rPr>
          <w:rFonts w:hint="eastAsia" w:ascii="Times New Roman" w:hAnsi="Times New Roman" w:eastAsia="方正仿宋_GBK"/>
          <w:szCs w:val="32"/>
        </w:rPr>
        <w:t>VOCs溯源解析</w:t>
      </w:r>
      <w:r>
        <w:rPr>
          <w:rFonts w:ascii="Times New Roman" w:hAnsi="Times New Roman" w:eastAsia="方正仿宋_GBK"/>
          <w:szCs w:val="32"/>
        </w:rPr>
        <w:t>、</w:t>
      </w:r>
      <w:r>
        <w:rPr>
          <w:rFonts w:hint="eastAsia" w:ascii="Times New Roman" w:hAnsi="Times New Roman" w:eastAsia="方正仿宋_GBK"/>
          <w:szCs w:val="32"/>
        </w:rPr>
        <w:t>水生态健康监测、</w:t>
      </w:r>
      <w:r>
        <w:rPr>
          <w:rFonts w:ascii="Times New Roman" w:hAnsi="Times New Roman" w:eastAsia="方正仿宋_GBK"/>
          <w:szCs w:val="32"/>
        </w:rPr>
        <w:t>数智化转型等，设立以下202</w:t>
      </w:r>
      <w:r>
        <w:rPr>
          <w:rFonts w:hint="eastAsia" w:ascii="Times New Roman" w:hAnsi="Times New Roman" w:eastAsia="方正仿宋_GBK"/>
          <w:szCs w:val="32"/>
        </w:rPr>
        <w:t>6</w:t>
      </w:r>
      <w:r>
        <w:rPr>
          <w:rFonts w:ascii="Times New Roman" w:hAnsi="Times New Roman" w:eastAsia="方正仿宋_GBK"/>
          <w:szCs w:val="32"/>
        </w:rPr>
        <w:t>年度自主立项科研项目支持重点方向。</w:t>
      </w:r>
    </w:p>
    <w:p w14:paraId="07EE5877">
      <w:pPr>
        <w:adjustRightInd w:val="0"/>
        <w:snapToGrid w:val="0"/>
        <w:spacing w:line="590" w:lineRule="exact"/>
        <w:ind w:firstLine="640" w:firstLineChars="200"/>
        <w:outlineLvl w:val="0"/>
        <w:rPr>
          <w:rFonts w:ascii="Times New Roman" w:hAnsi="Times New Roman" w:eastAsia="方正黑体_GBK"/>
          <w:color w:val="FF0000"/>
          <w:szCs w:val="32"/>
        </w:rPr>
      </w:pPr>
      <w:r>
        <w:rPr>
          <w:rFonts w:hint="eastAsia" w:ascii="Times New Roman" w:hAnsi="Times New Roman" w:eastAsia="方正黑体_GBK"/>
          <w:szCs w:val="32"/>
        </w:rPr>
        <w:t>一</w:t>
      </w:r>
      <w:r>
        <w:rPr>
          <w:rFonts w:ascii="Times New Roman" w:hAnsi="Times New Roman" w:eastAsia="方正黑体_GBK"/>
          <w:szCs w:val="32"/>
        </w:rPr>
        <w:t>、</w:t>
      </w:r>
      <w:r>
        <w:rPr>
          <w:rFonts w:hint="eastAsia" w:ascii="Times New Roman" w:hAnsi="Times New Roman" w:eastAsia="方正黑体_GBK"/>
          <w:szCs w:val="32"/>
        </w:rPr>
        <w:t>江苏省环境保护空气复合污染监测重点实验室</w:t>
      </w:r>
    </w:p>
    <w:p w14:paraId="6AC1B361">
      <w:pPr>
        <w:adjustRightInd w:val="0"/>
        <w:snapToGrid w:val="0"/>
        <w:spacing w:line="590" w:lineRule="exact"/>
        <w:ind w:firstLine="640" w:firstLineChars="200"/>
        <w:outlineLvl w:val="0"/>
        <w:rPr>
          <w:rFonts w:ascii="Times New Roman" w:hAnsi="Times New Roman"/>
          <w:color w:val="191919"/>
        </w:rPr>
      </w:pPr>
      <w:r>
        <w:rPr>
          <w:rFonts w:hint="eastAsia" w:ascii="Times New Roman" w:hAnsi="Times New Roman" w:eastAsia="方正黑体_GBK"/>
          <w:szCs w:val="32"/>
        </w:rPr>
        <w:t>A</w:t>
      </w:r>
      <w:r>
        <w:rPr>
          <w:rFonts w:ascii="Times New Roman" w:hAnsi="Times New Roman" w:eastAsia="方正黑体_GBK"/>
          <w:szCs w:val="32"/>
        </w:rPr>
        <w:t xml:space="preserve">1  </w:t>
      </w:r>
      <w:r>
        <w:rPr>
          <w:rFonts w:hint="eastAsia" w:ascii="Times New Roman" w:hAnsi="Times New Roman" w:eastAsia="方正黑体_GBK"/>
          <w:szCs w:val="32"/>
        </w:rPr>
        <w:t>基于无人机高空采样技术的VOCs溯源与立体扩散特征研究</w:t>
      </w:r>
    </w:p>
    <w:p w14:paraId="6461D171">
      <w:pPr>
        <w:spacing w:line="590" w:lineRule="exact"/>
        <w:ind w:firstLine="640" w:firstLineChars="200"/>
        <w:rPr>
          <w:rFonts w:ascii="Times New Roman" w:hAnsi="Times New Roman" w:eastAsia="方正仿宋_GBK"/>
          <w:bCs/>
          <w:szCs w:val="32"/>
        </w:rPr>
      </w:pPr>
      <w:r>
        <w:rPr>
          <w:rFonts w:hint="eastAsia" w:ascii="Times New Roman" w:hAnsi="Times New Roman" w:eastAsia="方正仿宋_GBK"/>
          <w:bCs/>
          <w:szCs w:val="32"/>
        </w:rPr>
        <w:t>针对典型行业或企业 VOCs高值排放点溯源难、扩散影响不清的问题，利用冷凝红外遥感及无人机多通道采样技术，对研究区域进行快速筛查，锁定疑似 VOCs 排放点位置，并基于多高度梯度采样数据和小尺度模型，分析VOCs浓度衰减规律、传输及扩散范围，评估排放点对周边环境的实际影响。</w:t>
      </w:r>
    </w:p>
    <w:p w14:paraId="6637BA96">
      <w:pPr>
        <w:adjustRightInd w:val="0"/>
        <w:snapToGrid w:val="0"/>
        <w:spacing w:line="590" w:lineRule="exact"/>
        <w:ind w:firstLine="640" w:firstLineChars="200"/>
        <w:outlineLvl w:val="0"/>
        <w:rPr>
          <w:rFonts w:ascii="Times New Roman" w:hAnsi="Times New Roman" w:eastAsia="方正黑体_GBK"/>
          <w:szCs w:val="32"/>
        </w:rPr>
      </w:pPr>
      <w:r>
        <w:rPr>
          <w:rFonts w:hint="eastAsia" w:ascii="Times New Roman" w:hAnsi="Times New Roman" w:eastAsia="方正黑体_GBK"/>
          <w:szCs w:val="32"/>
        </w:rPr>
        <w:t>二</w:t>
      </w:r>
      <w:r>
        <w:rPr>
          <w:rFonts w:ascii="Times New Roman" w:hAnsi="Times New Roman" w:eastAsia="方正黑体_GBK"/>
          <w:szCs w:val="32"/>
        </w:rPr>
        <w:t>、水环境监测领域</w:t>
      </w:r>
    </w:p>
    <w:p w14:paraId="4AB87FB9">
      <w:pPr>
        <w:spacing w:line="590" w:lineRule="exact"/>
        <w:ind w:firstLine="640" w:firstLineChars="200"/>
        <w:rPr>
          <w:rFonts w:ascii="Times New Roman" w:hAnsi="Times New Roman" w:eastAsia="方正黑体_GBK"/>
          <w:szCs w:val="32"/>
        </w:rPr>
      </w:pPr>
      <w:r>
        <w:rPr>
          <w:rFonts w:hint="eastAsia" w:ascii="Times New Roman" w:hAnsi="Times New Roman" w:eastAsia="方正仿宋_GBK"/>
          <w:bCs/>
          <w:szCs w:val="32"/>
        </w:rPr>
        <w:t>B</w:t>
      </w:r>
      <w:r>
        <w:rPr>
          <w:rFonts w:ascii="Times New Roman" w:hAnsi="Times New Roman" w:eastAsia="方正仿宋_GBK"/>
          <w:bCs/>
          <w:szCs w:val="32"/>
        </w:rPr>
        <w:t>1</w:t>
      </w:r>
      <w:r>
        <w:rPr>
          <w:rFonts w:ascii="Times New Roman" w:hAnsi="Times New Roman" w:eastAsia="方正仿宋_GBK"/>
          <w:b/>
          <w:szCs w:val="32"/>
        </w:rPr>
        <w:t xml:space="preserve">  </w:t>
      </w:r>
      <w:r>
        <w:rPr>
          <w:rFonts w:hint="eastAsia" w:ascii="Times New Roman" w:hAnsi="Times New Roman" w:eastAsia="方正黑体_GBK"/>
          <w:szCs w:val="32"/>
        </w:rPr>
        <w:t>水位变化与风浪扰动对苏州重点水域水生植被时空格局的影响及遥感监测评估关键技术研究</w:t>
      </w:r>
    </w:p>
    <w:p w14:paraId="154F2CB7">
      <w:pPr>
        <w:spacing w:line="590" w:lineRule="exact"/>
        <w:ind w:firstLine="640" w:firstLineChars="200"/>
        <w:rPr>
          <w:rFonts w:ascii="Times New Roman" w:hAnsi="Times New Roman" w:eastAsia="方正仿宋_GBK"/>
          <w:bCs/>
          <w:szCs w:val="32"/>
        </w:rPr>
      </w:pPr>
      <w:r>
        <w:rPr>
          <w:rFonts w:hint="eastAsia" w:ascii="Times New Roman" w:hAnsi="Times New Roman" w:eastAsia="方正仿宋_GBK"/>
          <w:bCs/>
          <w:szCs w:val="32"/>
        </w:rPr>
        <w:t>聚焦苏州重点水域水生植被退化问题，研究水位变化与风浪扰动对植被时空格局的影响过程，并结合总磷总氮等关键水质指标开展综合评估。融合多源遥感时序与水文气象、水质监测数据，反演水位变化与水生植被覆盖度，构建可解释的退化诊断指标体系与分级评估方法，识别敏感区、敏感期和关键阈值，为重点湖泊生态调控与修复评估提供支撑</w:t>
      </w:r>
      <w:r>
        <w:rPr>
          <w:rFonts w:ascii="Times New Roman" w:hAnsi="Times New Roman" w:eastAsia="方正仿宋_GBK"/>
          <w:bCs/>
          <w:szCs w:val="32"/>
        </w:rPr>
        <w:t>。</w:t>
      </w:r>
    </w:p>
    <w:p w14:paraId="25C9645E">
      <w:pPr>
        <w:spacing w:line="590" w:lineRule="exact"/>
        <w:ind w:firstLine="640" w:firstLineChars="200"/>
        <w:rPr>
          <w:rFonts w:ascii="Times New Roman" w:hAnsi="Times New Roman" w:eastAsia="方正黑体_GBK"/>
          <w:szCs w:val="32"/>
        </w:rPr>
      </w:pPr>
      <w:r>
        <w:rPr>
          <w:rFonts w:hint="eastAsia" w:ascii="Times New Roman" w:hAnsi="Times New Roman" w:eastAsia="方正仿宋_GBK"/>
          <w:bCs/>
          <w:szCs w:val="32"/>
        </w:rPr>
        <w:t>B</w:t>
      </w:r>
      <w:r>
        <w:rPr>
          <w:rFonts w:ascii="Times New Roman" w:hAnsi="Times New Roman" w:eastAsia="方正仿宋_GBK"/>
          <w:bCs/>
          <w:szCs w:val="32"/>
        </w:rPr>
        <w:t xml:space="preserve">2 </w:t>
      </w:r>
      <w:r>
        <w:rPr>
          <w:rFonts w:ascii="Times New Roman" w:hAnsi="Times New Roman" w:eastAsia="方正仿宋_GBK"/>
          <w:b/>
          <w:szCs w:val="32"/>
        </w:rPr>
        <w:t xml:space="preserve"> </w:t>
      </w:r>
      <w:r>
        <w:rPr>
          <w:rFonts w:hint="eastAsia" w:ascii="Times New Roman" w:hAnsi="Times New Roman" w:eastAsia="方正黑体_GBK"/>
          <w:szCs w:val="32"/>
        </w:rPr>
        <w:t>阳澄湖水质总氮和总磷波动成因诊断研究</w:t>
      </w:r>
    </w:p>
    <w:p w14:paraId="2C708865">
      <w:pPr>
        <w:spacing w:line="590" w:lineRule="exact"/>
        <w:ind w:firstLine="640" w:firstLineChars="200"/>
        <w:rPr>
          <w:rFonts w:hint="eastAsia" w:ascii="Times New Roman" w:hAnsi="Times New Roman" w:eastAsia="方正仿宋_GBK"/>
          <w:bCs/>
          <w:szCs w:val="32"/>
        </w:rPr>
      </w:pPr>
      <w:r>
        <w:rPr>
          <w:rFonts w:hint="eastAsia" w:ascii="Times New Roman" w:hAnsi="Times New Roman" w:eastAsia="方正仿宋_GBK"/>
          <w:bCs/>
          <w:szCs w:val="32"/>
        </w:rPr>
        <w:t>针对近年来阳澄湖水质藻情波动，尤其总氮和总磷波动成因不明的问题，在开展阳澄湖水体环境DNA调查基础上，分析阳澄湖水质总氮和总磷波动的成因，并提出相应对策，为阳澄湖水质总氮和总磷指标稳定达优提供支撑。</w:t>
      </w:r>
    </w:p>
    <w:p w14:paraId="3AE92DA2">
      <w:pPr>
        <w:adjustRightInd w:val="0"/>
        <w:snapToGrid w:val="0"/>
        <w:spacing w:line="590" w:lineRule="exact"/>
        <w:ind w:firstLine="640" w:firstLineChars="200"/>
        <w:outlineLvl w:val="0"/>
        <w:rPr>
          <w:rFonts w:ascii="Times New Roman" w:hAnsi="Times New Roman" w:eastAsia="方正黑体_GBK"/>
          <w:szCs w:val="32"/>
        </w:rPr>
      </w:pPr>
      <w:r>
        <w:rPr>
          <w:rFonts w:ascii="Times New Roman" w:hAnsi="Times New Roman" w:eastAsia="方正黑体_GBK"/>
          <w:szCs w:val="32"/>
        </w:rPr>
        <w:t>三、生态环境监测领域</w:t>
      </w:r>
    </w:p>
    <w:p w14:paraId="3EC2D628">
      <w:pPr>
        <w:adjustRightInd w:val="0"/>
        <w:snapToGrid w:val="0"/>
        <w:spacing w:line="590" w:lineRule="exact"/>
        <w:ind w:firstLine="640" w:firstLineChars="200"/>
        <w:outlineLvl w:val="0"/>
        <w:rPr>
          <w:rFonts w:ascii="Times New Roman" w:hAnsi="Times New Roman" w:eastAsia="方正黑体_GBK"/>
          <w:szCs w:val="32"/>
        </w:rPr>
      </w:pPr>
      <w:r>
        <w:rPr>
          <w:rFonts w:ascii="Times New Roman" w:hAnsi="Times New Roman" w:eastAsia="方正黑体_GBK"/>
          <w:szCs w:val="32"/>
        </w:rPr>
        <w:t xml:space="preserve">C1  </w:t>
      </w:r>
      <w:r>
        <w:rPr>
          <w:rFonts w:hint="eastAsia" w:ascii="Times New Roman" w:hAnsi="Times New Roman" w:eastAsia="方正黑体_GBK"/>
          <w:szCs w:val="32"/>
        </w:rPr>
        <w:t>适用于水生态考核的底栖动物eDNA监测范式研究</w:t>
      </w:r>
    </w:p>
    <w:p w14:paraId="69172665">
      <w:pPr>
        <w:spacing w:line="590" w:lineRule="exact"/>
        <w:ind w:firstLine="640" w:firstLineChars="200"/>
        <w:rPr>
          <w:rFonts w:ascii="Times New Roman" w:hAnsi="Times New Roman" w:eastAsia="方正仿宋_GBK"/>
          <w:bCs/>
          <w:szCs w:val="32"/>
        </w:rPr>
      </w:pPr>
      <w:r>
        <w:rPr>
          <w:rFonts w:hint="eastAsia" w:ascii="Times New Roman" w:hAnsi="Times New Roman" w:eastAsia="方正仿宋_GBK"/>
          <w:bCs/>
          <w:szCs w:val="32"/>
        </w:rPr>
        <w:t>通过苏州市不同考核目标河流eDNA监测和形态学监测结果比较研究，初步构建基于eDNA分析技术的河流水生态考核评价体系，建立标准化的eDNA（野外和室内）工作流程，为建立河流水生态考核智慧监测提供数据和技术支撑</w:t>
      </w:r>
      <w:r>
        <w:rPr>
          <w:rFonts w:ascii="Times New Roman" w:hAnsi="Times New Roman" w:eastAsia="方正仿宋_GBK"/>
          <w:bCs/>
          <w:szCs w:val="32"/>
        </w:rPr>
        <w:t>。</w:t>
      </w:r>
    </w:p>
    <w:p w14:paraId="7CB95393">
      <w:pPr>
        <w:adjustRightInd w:val="0"/>
        <w:snapToGrid w:val="0"/>
        <w:spacing w:line="590" w:lineRule="exact"/>
        <w:ind w:firstLine="640" w:firstLineChars="200"/>
        <w:outlineLvl w:val="0"/>
        <w:rPr>
          <w:rFonts w:ascii="Times New Roman" w:hAnsi="Times New Roman" w:eastAsia="方正黑体_GBK"/>
          <w:szCs w:val="32"/>
        </w:rPr>
      </w:pPr>
      <w:r>
        <w:rPr>
          <w:rFonts w:ascii="Times New Roman" w:hAnsi="Times New Roman" w:eastAsia="方正黑体_GBK"/>
          <w:szCs w:val="32"/>
        </w:rPr>
        <w:t xml:space="preserve">C2  </w:t>
      </w:r>
      <w:r>
        <w:rPr>
          <w:rFonts w:hint="eastAsia" w:ascii="Times New Roman" w:hAnsi="Times New Roman" w:eastAsia="方正黑体_GBK"/>
          <w:szCs w:val="32"/>
        </w:rPr>
        <w:t>太湖典型区域蓝藻休眠体抑制条件与复苏潜力研究</w:t>
      </w:r>
    </w:p>
    <w:p w14:paraId="46A20A32">
      <w:pPr>
        <w:spacing w:line="590" w:lineRule="exact"/>
        <w:ind w:firstLine="640" w:firstLineChars="200"/>
        <w:rPr>
          <w:rFonts w:ascii="Times New Roman" w:hAnsi="Times New Roman" w:eastAsia="方正仿宋_GBK"/>
          <w:bCs/>
          <w:szCs w:val="32"/>
        </w:rPr>
      </w:pPr>
      <w:r>
        <w:rPr>
          <w:rFonts w:hint="eastAsia" w:ascii="Times New Roman" w:hAnsi="Times New Roman" w:eastAsia="方正仿宋_GBK"/>
          <w:bCs/>
          <w:szCs w:val="32"/>
        </w:rPr>
        <w:t>针对太湖典型区域底泥蓝藻休眠体抑制条件与复苏潜力不清的问题，采用多点位对比、抑制条件模拟、密度分离与分子鉴定、PAM叶绿素荧光判别、萌发实验等方法，开展底泥蓝藻休眠体在不同环境条件下的存活状态、萌发抑制与复苏响应规律研究，形成“抑制条件—休眠深度—复苏潜力”评估技术，为太湖蓝藻水华精准预警与分区防控提供科学支撑。</w:t>
      </w:r>
    </w:p>
    <w:p w14:paraId="414BE6BD">
      <w:pPr>
        <w:adjustRightInd w:val="0"/>
        <w:snapToGrid w:val="0"/>
        <w:spacing w:line="590" w:lineRule="exact"/>
        <w:ind w:firstLine="640" w:firstLineChars="200"/>
        <w:outlineLvl w:val="0"/>
        <w:rPr>
          <w:rFonts w:ascii="Times New Roman" w:hAnsi="Times New Roman" w:eastAsia="方正黑体_GBK"/>
          <w:szCs w:val="32"/>
        </w:rPr>
      </w:pPr>
      <w:r>
        <w:rPr>
          <w:rFonts w:ascii="Times New Roman" w:hAnsi="Times New Roman" w:eastAsia="方正黑体_GBK"/>
          <w:szCs w:val="32"/>
        </w:rPr>
        <w:t>四、监测新领域</w:t>
      </w:r>
    </w:p>
    <w:p w14:paraId="4B3390D6">
      <w:pPr>
        <w:adjustRightInd w:val="0"/>
        <w:snapToGrid w:val="0"/>
        <w:spacing w:line="590" w:lineRule="exact"/>
        <w:ind w:firstLine="640" w:firstLineChars="200"/>
        <w:outlineLvl w:val="0"/>
        <w:rPr>
          <w:rFonts w:ascii="Times New Roman" w:hAnsi="Times New Roman" w:eastAsia="方正黑体_GBK"/>
          <w:szCs w:val="32"/>
        </w:rPr>
      </w:pPr>
      <w:r>
        <w:rPr>
          <w:rFonts w:ascii="Times New Roman" w:hAnsi="Times New Roman" w:eastAsia="方正黑体_GBK"/>
          <w:szCs w:val="32"/>
        </w:rPr>
        <w:t xml:space="preserve">D1  </w:t>
      </w:r>
      <w:r>
        <w:rPr>
          <w:rFonts w:hint="eastAsia" w:ascii="Times New Roman" w:hAnsi="Times New Roman" w:eastAsia="方正黑体_GBK"/>
          <w:szCs w:val="32"/>
        </w:rPr>
        <w:t>太湖典型饮用水源地全氟化合物筛查及风险评估</w:t>
      </w:r>
    </w:p>
    <w:p w14:paraId="40024F85">
      <w:pPr>
        <w:adjustRightInd w:val="0"/>
        <w:snapToGrid w:val="0"/>
        <w:spacing w:line="590" w:lineRule="exact"/>
        <w:ind w:firstLine="640" w:firstLineChars="200"/>
        <w:outlineLvl w:val="1"/>
        <w:rPr>
          <w:rFonts w:ascii="Times New Roman" w:hAnsi="Times New Roman" w:eastAsia="方正仿宋_GBK"/>
          <w:szCs w:val="32"/>
        </w:rPr>
      </w:pPr>
      <w:r>
        <w:rPr>
          <w:rFonts w:hint="eastAsia" w:ascii="Times New Roman" w:hAnsi="Times New Roman" w:eastAsia="方正仿宋_GBK"/>
          <w:szCs w:val="32"/>
        </w:rPr>
        <w:t>针对PFASs中PFOSF类化合物长期未纳入常规监测体系，太湖饮用水源地尚未开展系统性PFASs监测分析；采用HPLC-QTOF-MS高分辨质谱可疑筛查与非靶标筛查，开展太湖典型饮用水源地、主要出入湖河道代表性点位及周边典型涉氟工业污染源和污水处理厂的全水期协同监测研究。形成典型水源地PFASs污染来源解析与风险分级结论、水源地PFASs精准管控对策建议及专项技术报告，为供水安全保障提供技术支撑。</w:t>
      </w:r>
    </w:p>
    <w:p w14:paraId="6D6ACD10">
      <w:pPr>
        <w:adjustRightInd w:val="0"/>
        <w:snapToGrid w:val="0"/>
        <w:spacing w:line="590" w:lineRule="exact"/>
        <w:ind w:firstLine="640" w:firstLineChars="200"/>
        <w:outlineLvl w:val="1"/>
        <w:rPr>
          <w:rFonts w:hint="eastAsia" w:ascii="Times New Roman" w:hAnsi="Times New Roman" w:eastAsia="方正黑体_GBK"/>
          <w:szCs w:val="32"/>
        </w:rPr>
      </w:pPr>
      <w:r>
        <w:rPr>
          <w:rFonts w:ascii="Times New Roman" w:hAnsi="Times New Roman" w:eastAsia="方正黑体_GBK"/>
          <w:szCs w:val="32"/>
        </w:rPr>
        <w:t>D</w:t>
      </w:r>
      <w:r>
        <w:rPr>
          <w:rFonts w:hint="eastAsia" w:ascii="Times New Roman" w:hAnsi="Times New Roman" w:eastAsia="方正黑体_GBK"/>
          <w:szCs w:val="32"/>
        </w:rPr>
        <w:t>2</w:t>
      </w:r>
      <w:r>
        <w:rPr>
          <w:rFonts w:ascii="Times New Roman" w:hAnsi="Times New Roman" w:eastAsia="方正黑体_GBK"/>
          <w:szCs w:val="32"/>
        </w:rPr>
        <w:t xml:space="preserve">  </w:t>
      </w:r>
      <w:r>
        <w:rPr>
          <w:rFonts w:hint="eastAsia" w:ascii="Times New Roman" w:hAnsi="Times New Roman" w:eastAsia="方正黑体_GBK"/>
          <w:szCs w:val="32"/>
        </w:rPr>
        <w:t>数智化过程监管平台</w:t>
      </w:r>
    </w:p>
    <w:p w14:paraId="0342B380">
      <w:pPr>
        <w:spacing w:line="590" w:lineRule="exact"/>
        <w:ind w:firstLine="640" w:firstLineChars="200"/>
        <w:jc w:val="left"/>
        <w:rPr>
          <w:rFonts w:hint="eastAsia" w:ascii="Times New Roman" w:hAnsi="Times New Roman" w:eastAsia="方正仿宋_GBK"/>
          <w:szCs w:val="32"/>
        </w:rPr>
      </w:pPr>
      <w:r>
        <w:rPr>
          <w:rFonts w:hint="eastAsia" w:ascii="Times New Roman" w:hAnsi="Times New Roman" w:eastAsia="方正仿宋_GBK"/>
          <w:szCs w:val="32"/>
        </w:rPr>
        <w:t>针对当前监管工作存在高滞后和低覆盖的问题，采用AI技术和非现场核查等方法，开展AI视觉识别应用和线上平台实时监管研究，形成AI算法模型及数智化过程监管平台等成果。</w:t>
      </w:r>
    </w:p>
    <w:p w14:paraId="201FBAB6">
      <w:r>
        <w:rPr>
          <w:rFonts w:ascii="Times New Roman" w:hAnsi="Times New Roman" w:eastAsia="黑体"/>
          <w:color w:val="000000"/>
          <w:szCs w:val="32"/>
        </w:rPr>
        <w:br w:type="page"/>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2B10DE"/>
    <w:rsid w:val="1D2B1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等线"/>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2026-10-27T05:35:00Z</dcterms:created>
  <dc:creator>袁希</dc:creator>
  <cp:lastModifiedBy>袁希</cp:lastModifiedBy>
  <dcterms:modified xsi:type="dcterms:W3CDTF">2026-10-27T05:37:41Z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B7A890193FD84E54B0B422151B9818E1_11</vt:lpwstr>
  </property>
  <property fmtid="{D5CDD505-2E9C-101B-9397-08002B2CF9AE}" pid="4" name="KSOTemplateDocerSaveRecord">
    <vt:lpwstr>eyJoZGlkIjoiODI2YjhhMmE3MzdkYWFhOGUyYjliNTc4OGZjOGJhZTQiLCJ1c2VySWQiOiIyODgzOTUxNTUifQ==</vt:lpwstr>
  </property>
</Properties>
</file>