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0AED">
      <w:pPr>
        <w:spacing w:line="240" w:lineRule="auto"/>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苏州市环境信访</w:t>
      </w:r>
      <w:r>
        <w:rPr>
          <w:rFonts w:hint="eastAsia" w:ascii="方正小标宋简体" w:hAnsi="方正小标宋简体" w:eastAsia="方正小标宋简体" w:cs="方正小标宋简体"/>
          <w:b w:val="0"/>
          <w:bCs/>
          <w:kern w:val="0"/>
          <w:sz w:val="44"/>
          <w:szCs w:val="44"/>
          <w:lang w:eastAsia="zh-CN"/>
        </w:rPr>
        <w:t>举报</w:t>
      </w:r>
      <w:r>
        <w:rPr>
          <w:rFonts w:hint="eastAsia" w:ascii="方正小标宋简体" w:hAnsi="方正小标宋简体" w:eastAsia="方正小标宋简体" w:cs="方正小标宋简体"/>
          <w:b w:val="0"/>
          <w:bCs/>
          <w:kern w:val="0"/>
          <w:sz w:val="44"/>
          <w:szCs w:val="44"/>
        </w:rPr>
        <w:t>情况信息公开（202</w:t>
      </w:r>
      <w:r>
        <w:rPr>
          <w:rFonts w:hint="eastAsia" w:ascii="方正小标宋简体" w:hAnsi="方正小标宋简体" w:eastAsia="方正小标宋简体" w:cs="方正小标宋简体"/>
          <w:b w:val="0"/>
          <w:bCs/>
          <w:kern w:val="0"/>
          <w:sz w:val="44"/>
          <w:szCs w:val="44"/>
          <w:lang w:val="en-US" w:eastAsia="zh-CN"/>
        </w:rPr>
        <w:t>6</w:t>
      </w:r>
      <w:r>
        <w:rPr>
          <w:rFonts w:hint="eastAsia" w:ascii="方正小标宋简体" w:hAnsi="方正小标宋简体" w:eastAsia="方正小标宋简体" w:cs="方正小标宋简体"/>
          <w:b w:val="0"/>
          <w:bCs/>
          <w:kern w:val="0"/>
          <w:sz w:val="44"/>
          <w:szCs w:val="44"/>
        </w:rPr>
        <w:t>年</w:t>
      </w:r>
      <w:r>
        <w:rPr>
          <w:rFonts w:hint="eastAsia" w:ascii="方正小标宋简体" w:hAnsi="方正小标宋简体" w:eastAsia="方正小标宋简体" w:cs="方正小标宋简体"/>
          <w:b w:val="0"/>
          <w:bCs/>
          <w:kern w:val="0"/>
          <w:sz w:val="44"/>
          <w:szCs w:val="44"/>
          <w:lang w:val="en-US" w:eastAsia="zh-CN"/>
        </w:rPr>
        <w:t>4</w:t>
      </w:r>
      <w:r>
        <w:rPr>
          <w:rFonts w:hint="eastAsia" w:ascii="方正小标宋简体" w:hAnsi="方正小标宋简体" w:eastAsia="方正小标宋简体" w:cs="方正小标宋简体"/>
          <w:b w:val="0"/>
          <w:bCs/>
          <w:kern w:val="0"/>
          <w:sz w:val="44"/>
          <w:szCs w:val="44"/>
        </w:rPr>
        <w:t>月）</w:t>
      </w:r>
    </w:p>
    <w:p w14:paraId="2AA19BED">
      <w:pPr>
        <w:spacing w:line="240" w:lineRule="auto"/>
        <w:ind w:firstLine="640" w:firstLineChars="200"/>
        <w:jc w:val="both"/>
        <w:rPr>
          <w:rFonts w:hint="eastAsia" w:ascii="Times New Roman" w:eastAsia="仿宋_GB2312"/>
          <w:sz w:val="32"/>
          <w:szCs w:val="32"/>
          <w:lang w:val="en-US" w:eastAsia="zh-CN"/>
        </w:rPr>
      </w:pPr>
      <w:r>
        <w:rPr>
          <w:rFonts w:hint="eastAsia" w:ascii="Times New Roman" w:eastAsia="仿宋_GB2312"/>
          <w:sz w:val="32"/>
          <w:szCs w:val="32"/>
          <w:lang w:val="en-US" w:eastAsia="zh-CN"/>
        </w:rPr>
        <w:t>2026年4</w:t>
      </w:r>
      <w:r>
        <w:rPr>
          <w:rFonts w:hint="eastAsia" w:ascii="Times New Roman" w:eastAsia="仿宋_GB2312"/>
          <w:sz w:val="32"/>
          <w:szCs w:val="32"/>
        </w:rPr>
        <w:t>月，</w:t>
      </w:r>
      <w:r>
        <w:rPr>
          <w:rFonts w:hint="eastAsia" w:ascii="Times New Roman" w:eastAsia="仿宋_GB2312"/>
          <w:sz w:val="32"/>
          <w:szCs w:val="32"/>
          <w:lang w:eastAsia="zh-CN"/>
        </w:rPr>
        <w:t>全市生态环境部门</w:t>
      </w:r>
      <w:r>
        <w:rPr>
          <w:rFonts w:hint="eastAsia" w:ascii="Times New Roman" w:eastAsia="仿宋_GB2312"/>
          <w:sz w:val="32"/>
          <w:szCs w:val="32"/>
        </w:rPr>
        <w:t>共受理各级环境信访举</w:t>
      </w:r>
      <w:r>
        <w:rPr>
          <w:rFonts w:hint="eastAsia" w:ascii="Times New Roman" w:eastAsia="仿宋_GB2312"/>
          <w:sz w:val="32"/>
          <w:szCs w:val="32"/>
          <w:lang w:val="en-US" w:eastAsia="zh-CN"/>
        </w:rPr>
        <w:t>报</w:t>
      </w:r>
      <w:r>
        <w:rPr>
          <w:rFonts w:hint="eastAsia" w:ascii="Times New Roman" w:eastAsia="仿宋_GB2312" w:cs="Times New Roman"/>
          <w:i w:val="0"/>
          <w:iCs w:val="0"/>
          <w:caps w:val="0"/>
          <w:color w:val="auto"/>
          <w:spacing w:val="0"/>
          <w:kern w:val="2"/>
          <w:sz w:val="32"/>
          <w:szCs w:val="32"/>
          <w:lang w:val="en-US" w:eastAsia="zh-CN" w:bidi="ar-SA"/>
        </w:rPr>
        <w:t>449</w:t>
      </w:r>
      <w:r>
        <w:rPr>
          <w:rFonts w:hint="default" w:ascii="Times New Roman" w:hAnsi="Times New Roman" w:eastAsia="仿宋_GB2312" w:cs="Times New Roman"/>
          <w:i w:val="0"/>
          <w:iCs w:val="0"/>
          <w:caps w:val="0"/>
          <w:color w:val="auto"/>
          <w:spacing w:val="0"/>
          <w:kern w:val="2"/>
          <w:sz w:val="32"/>
          <w:szCs w:val="32"/>
          <w:lang w:val="en-US" w:eastAsia="zh-CN" w:bidi="ar-SA"/>
        </w:rPr>
        <w:t>件，同比</w:t>
      </w:r>
      <w:r>
        <w:rPr>
          <w:rFonts w:hint="eastAsia" w:ascii="Times New Roman" w:eastAsia="仿宋_GB2312" w:cs="Times New Roman"/>
          <w:i w:val="0"/>
          <w:iCs w:val="0"/>
          <w:caps w:val="0"/>
          <w:color w:val="auto"/>
          <w:spacing w:val="0"/>
          <w:kern w:val="2"/>
          <w:sz w:val="32"/>
          <w:szCs w:val="32"/>
          <w:lang w:val="en-US" w:eastAsia="zh-CN" w:bidi="ar-SA"/>
        </w:rPr>
        <w:t>下降53</w:t>
      </w:r>
      <w:r>
        <w:rPr>
          <w:rFonts w:hint="default" w:ascii="Times New Roman" w:hAnsi="Times New Roman" w:eastAsia="仿宋_GB2312" w:cs="Times New Roman"/>
          <w:i w:val="0"/>
          <w:iCs w:val="0"/>
          <w:caps w:val="0"/>
          <w:color w:val="auto"/>
          <w:spacing w:val="0"/>
          <w:kern w:val="2"/>
          <w:sz w:val="32"/>
          <w:szCs w:val="32"/>
          <w:lang w:val="en-US" w:eastAsia="zh-CN" w:bidi="ar-SA"/>
        </w:rPr>
        <w:t>.</w:t>
      </w:r>
      <w:r>
        <w:rPr>
          <w:rFonts w:hint="eastAsia" w:ascii="Times New Roman" w:eastAsia="仿宋_GB2312" w:cs="Times New Roman"/>
          <w:i w:val="0"/>
          <w:iCs w:val="0"/>
          <w:caps w:val="0"/>
          <w:color w:val="auto"/>
          <w:spacing w:val="0"/>
          <w:kern w:val="2"/>
          <w:sz w:val="32"/>
          <w:szCs w:val="32"/>
          <w:lang w:val="en-US" w:eastAsia="zh-CN" w:bidi="ar-SA"/>
        </w:rPr>
        <w:t>4</w:t>
      </w:r>
      <w:r>
        <w:rPr>
          <w:rFonts w:hint="default" w:ascii="Times New Roman" w:hAnsi="Times New Roman" w:eastAsia="仿宋_GB2312" w:cs="Times New Roman"/>
          <w:i w:val="0"/>
          <w:iCs w:val="0"/>
          <w:caps w:val="0"/>
          <w:color w:val="auto"/>
          <w:spacing w:val="0"/>
          <w:kern w:val="2"/>
          <w:sz w:val="32"/>
          <w:szCs w:val="32"/>
          <w:lang w:val="en-US" w:eastAsia="zh-CN" w:bidi="ar-SA"/>
        </w:rPr>
        <w:t>%</w:t>
      </w:r>
      <w:r>
        <w:rPr>
          <w:rFonts w:hint="eastAsia" w:ascii="Times New Roman" w:eastAsia="仿宋_GB2312"/>
          <w:sz w:val="32"/>
          <w:szCs w:val="32"/>
          <w:lang w:val="en-US" w:eastAsia="zh-CN"/>
        </w:rPr>
        <w:t>。</w:t>
      </w:r>
    </w:p>
    <w:tbl>
      <w:tblPr>
        <w:tblStyle w:val="11"/>
        <w:tblW w:w="1322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31"/>
        <w:gridCol w:w="1066"/>
        <w:gridCol w:w="2976"/>
        <w:gridCol w:w="6875"/>
        <w:gridCol w:w="1773"/>
      </w:tblGrid>
      <w:tr w14:paraId="180FEF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31" w:type="dxa"/>
            <w:shd w:val="clear" w:color="auto" w:fill="auto"/>
            <w:vAlign w:val="center"/>
          </w:tcPr>
          <w:p w14:paraId="0887B451">
            <w:pPr>
              <w:spacing w:line="240" w:lineRule="auto"/>
              <w:jc w:val="center"/>
              <w:rPr>
                <w:rFonts w:hint="eastAsia" w:ascii="黑体" w:hAnsi="黑体" w:eastAsia="黑体"/>
                <w:sz w:val="24"/>
                <w:szCs w:val="24"/>
              </w:rPr>
            </w:pPr>
            <w:r>
              <w:rPr>
                <w:rFonts w:hint="eastAsia" w:ascii="黑体" w:hAnsi="黑体" w:eastAsia="黑体"/>
                <w:sz w:val="24"/>
                <w:szCs w:val="24"/>
              </w:rPr>
              <w:t>序号</w:t>
            </w:r>
          </w:p>
        </w:tc>
        <w:tc>
          <w:tcPr>
            <w:tcW w:w="1066" w:type="dxa"/>
            <w:shd w:val="clear" w:color="auto" w:fill="auto"/>
            <w:vAlign w:val="center"/>
          </w:tcPr>
          <w:p w14:paraId="591D36DB">
            <w:pPr>
              <w:spacing w:line="240" w:lineRule="auto"/>
              <w:jc w:val="center"/>
              <w:rPr>
                <w:rFonts w:hint="eastAsia" w:ascii="黑体" w:hAnsi="黑体" w:eastAsia="黑体"/>
                <w:sz w:val="24"/>
                <w:szCs w:val="24"/>
              </w:rPr>
            </w:pPr>
            <w:r>
              <w:rPr>
                <w:rFonts w:hint="eastAsia" w:ascii="黑体" w:hAnsi="黑体" w:eastAsia="黑体"/>
                <w:sz w:val="24"/>
                <w:szCs w:val="24"/>
              </w:rPr>
              <w:t>地区</w:t>
            </w:r>
          </w:p>
        </w:tc>
        <w:tc>
          <w:tcPr>
            <w:tcW w:w="2976" w:type="dxa"/>
            <w:shd w:val="clear" w:color="auto" w:fill="auto"/>
            <w:vAlign w:val="center"/>
          </w:tcPr>
          <w:p w14:paraId="50CE4893">
            <w:pPr>
              <w:spacing w:line="240" w:lineRule="auto"/>
              <w:jc w:val="center"/>
              <w:rPr>
                <w:rFonts w:hint="eastAsia" w:ascii="黑体" w:hAnsi="黑体" w:eastAsia="黑体"/>
                <w:sz w:val="24"/>
                <w:szCs w:val="24"/>
              </w:rPr>
            </w:pPr>
            <w:r>
              <w:rPr>
                <w:rFonts w:hint="eastAsia" w:ascii="黑体" w:hAnsi="黑体" w:eastAsia="黑体"/>
                <w:sz w:val="24"/>
                <w:szCs w:val="24"/>
              </w:rPr>
              <w:t>群众投诉问题</w:t>
            </w:r>
          </w:p>
        </w:tc>
        <w:tc>
          <w:tcPr>
            <w:tcW w:w="6875" w:type="dxa"/>
            <w:shd w:val="clear" w:color="auto" w:fill="auto"/>
            <w:vAlign w:val="center"/>
          </w:tcPr>
          <w:p w14:paraId="14C30127">
            <w:pPr>
              <w:spacing w:line="240" w:lineRule="auto"/>
              <w:jc w:val="center"/>
              <w:rPr>
                <w:rFonts w:hint="eastAsia" w:ascii="黑体" w:hAnsi="黑体" w:eastAsia="黑体"/>
                <w:sz w:val="24"/>
                <w:szCs w:val="24"/>
              </w:rPr>
            </w:pPr>
            <w:r>
              <w:rPr>
                <w:rFonts w:hint="eastAsia" w:ascii="黑体" w:hAnsi="黑体" w:eastAsia="黑体"/>
                <w:sz w:val="24"/>
                <w:szCs w:val="24"/>
              </w:rPr>
              <w:t>处理情况</w:t>
            </w:r>
          </w:p>
        </w:tc>
        <w:tc>
          <w:tcPr>
            <w:tcW w:w="1773" w:type="dxa"/>
            <w:vAlign w:val="center"/>
          </w:tcPr>
          <w:p w14:paraId="7232B2DE">
            <w:pPr>
              <w:spacing w:line="240" w:lineRule="auto"/>
              <w:jc w:val="center"/>
              <w:rPr>
                <w:rFonts w:hint="eastAsia" w:ascii="黑体" w:hAnsi="黑体" w:eastAsia="黑体"/>
                <w:sz w:val="24"/>
                <w:szCs w:val="24"/>
              </w:rPr>
            </w:pPr>
            <w:r>
              <w:rPr>
                <w:rFonts w:hint="eastAsia" w:ascii="黑体" w:hAnsi="黑体" w:eastAsia="黑体"/>
                <w:sz w:val="24"/>
                <w:szCs w:val="24"/>
              </w:rPr>
              <w:t>备注</w:t>
            </w:r>
          </w:p>
        </w:tc>
      </w:tr>
      <w:tr w14:paraId="72D63E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88" w:hRule="atLeast"/>
        </w:trPr>
        <w:tc>
          <w:tcPr>
            <w:tcW w:w="531" w:type="dxa"/>
            <w:shd w:val="clear" w:color="auto" w:fill="auto"/>
            <w:vAlign w:val="center"/>
          </w:tcPr>
          <w:p w14:paraId="3656E85D">
            <w:pPr>
              <w:spacing w:line="240" w:lineRule="auto"/>
              <w:jc w:val="center"/>
              <w:rPr>
                <w:rFonts w:hint="eastAsia" w:ascii="宋体" w:hAnsi="宋体" w:eastAsia="宋体"/>
                <w:szCs w:val="21"/>
              </w:rPr>
            </w:pPr>
            <w:r>
              <w:rPr>
                <w:rFonts w:hint="eastAsia" w:ascii="宋体" w:hAnsi="宋体" w:eastAsia="宋体"/>
                <w:szCs w:val="21"/>
              </w:rPr>
              <w:t>1</w:t>
            </w:r>
          </w:p>
        </w:tc>
        <w:tc>
          <w:tcPr>
            <w:tcW w:w="1066" w:type="dxa"/>
            <w:shd w:val="clear" w:color="auto" w:fill="auto"/>
            <w:vAlign w:val="center"/>
          </w:tcPr>
          <w:p w14:paraId="3F1D03EA">
            <w:pPr>
              <w:spacing w:line="240" w:lineRule="auto"/>
              <w:jc w:val="center"/>
              <w:rPr>
                <w:rFonts w:hint="eastAsia" w:ascii="宋体" w:hAnsi="宋体" w:eastAsia="宋体"/>
                <w:szCs w:val="21"/>
                <w:lang w:eastAsia="zh-CN"/>
              </w:rPr>
            </w:pPr>
            <w:r>
              <w:rPr>
                <w:rFonts w:hint="eastAsia" w:ascii="宋体" w:hAnsi="宋体" w:eastAsia="宋体"/>
                <w:szCs w:val="21"/>
              </w:rPr>
              <w:t>张家港</w:t>
            </w:r>
            <w:r>
              <w:rPr>
                <w:rFonts w:hint="eastAsia" w:ascii="宋体" w:hAnsi="宋体" w:eastAsia="宋体"/>
                <w:szCs w:val="21"/>
                <w:lang w:eastAsia="zh-CN"/>
              </w:rPr>
              <w:t>市</w:t>
            </w:r>
          </w:p>
        </w:tc>
        <w:tc>
          <w:tcPr>
            <w:tcW w:w="2976" w:type="dxa"/>
            <w:shd w:val="clear" w:color="auto" w:fill="auto"/>
            <w:vAlign w:val="center"/>
          </w:tcPr>
          <w:p w14:paraId="539D0480">
            <w:pPr>
              <w:spacing w:line="240" w:lineRule="auto"/>
              <w:rPr>
                <w:rFonts w:hint="eastAsia" w:ascii="宋体" w:hAnsi="宋体" w:eastAsia="宋体"/>
                <w:szCs w:val="21"/>
                <w:lang w:val="en-US" w:eastAsia="zh-CN"/>
              </w:rPr>
            </w:pPr>
            <w:r>
              <w:rPr>
                <w:rFonts w:hint="eastAsia" w:ascii="宋体" w:hAnsi="宋体" w:eastAsia="宋体"/>
                <w:szCs w:val="21"/>
              </w:rPr>
              <w:t>塘桥华芳集团毛纺织染有限公司内有一辆铲车，每天在车间内来回运行，发出的声音非常刺耳，严重影响周边住户生活。</w:t>
            </w:r>
          </w:p>
        </w:tc>
        <w:tc>
          <w:tcPr>
            <w:tcW w:w="6875" w:type="dxa"/>
            <w:shd w:val="clear" w:color="auto" w:fill="auto"/>
            <w:vAlign w:val="center"/>
          </w:tcPr>
          <w:p w14:paraId="378940FB">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已协调企业于2026年3月底更换成电动叉车。</w:t>
            </w:r>
          </w:p>
        </w:tc>
        <w:tc>
          <w:tcPr>
            <w:tcW w:w="1773" w:type="dxa"/>
            <w:vAlign w:val="center"/>
          </w:tcPr>
          <w:p w14:paraId="3E463333">
            <w:pPr>
              <w:adjustRightInd w:val="0"/>
              <w:spacing w:line="240" w:lineRule="auto"/>
              <w:rPr>
                <w:rFonts w:ascii="Times New Roman" w:hAnsi="Times New Roman" w:cs="Times New Roman" w:eastAsiaTheme="majorEastAsia"/>
                <w:szCs w:val="21"/>
              </w:rPr>
            </w:pPr>
          </w:p>
        </w:tc>
      </w:tr>
      <w:tr w14:paraId="043386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26" w:hRule="atLeast"/>
        </w:trPr>
        <w:tc>
          <w:tcPr>
            <w:tcW w:w="531" w:type="dxa"/>
            <w:shd w:val="clear" w:color="auto" w:fill="auto"/>
            <w:vAlign w:val="center"/>
          </w:tcPr>
          <w:p w14:paraId="45BC2F6A">
            <w:pPr>
              <w:spacing w:line="240" w:lineRule="auto"/>
              <w:jc w:val="center"/>
              <w:rPr>
                <w:rFonts w:hint="eastAsia" w:ascii="宋体" w:hAnsi="宋体" w:eastAsia="宋体"/>
                <w:szCs w:val="21"/>
                <w:lang w:val="en-US" w:eastAsia="zh-CN"/>
              </w:rPr>
            </w:pPr>
            <w:r>
              <w:rPr>
                <w:rFonts w:hint="eastAsia" w:ascii="宋体" w:hAnsi="宋体" w:eastAsia="宋体"/>
                <w:szCs w:val="21"/>
                <w:lang w:val="en-US" w:eastAsia="zh-CN"/>
              </w:rPr>
              <w:t>2</w:t>
            </w:r>
          </w:p>
        </w:tc>
        <w:tc>
          <w:tcPr>
            <w:tcW w:w="1066" w:type="dxa"/>
            <w:shd w:val="clear" w:color="auto" w:fill="auto"/>
            <w:vAlign w:val="center"/>
          </w:tcPr>
          <w:p w14:paraId="150F06C5">
            <w:pPr>
              <w:spacing w:line="240" w:lineRule="auto"/>
              <w:jc w:val="center"/>
              <w:rPr>
                <w:rFonts w:hint="eastAsia" w:ascii="宋体" w:hAnsi="宋体" w:eastAsia="宋体"/>
                <w:szCs w:val="21"/>
                <w:lang w:eastAsia="zh-CN"/>
              </w:rPr>
            </w:pPr>
            <w:r>
              <w:rPr>
                <w:rFonts w:hint="eastAsia" w:ascii="宋体" w:hAnsi="宋体" w:eastAsia="宋体"/>
                <w:szCs w:val="21"/>
                <w:lang w:eastAsia="zh-CN"/>
              </w:rPr>
              <w:t>常熟市</w:t>
            </w:r>
          </w:p>
        </w:tc>
        <w:tc>
          <w:tcPr>
            <w:tcW w:w="2976" w:type="dxa"/>
            <w:shd w:val="clear" w:color="auto" w:fill="auto"/>
            <w:vAlign w:val="center"/>
          </w:tcPr>
          <w:p w14:paraId="67700DF4">
            <w:pPr>
              <w:spacing w:line="240" w:lineRule="auto"/>
              <w:rPr>
                <w:rFonts w:hint="eastAsia" w:ascii="宋体" w:hAnsi="宋体" w:eastAsia="宋体"/>
                <w:szCs w:val="21"/>
                <w:lang w:val="en-US" w:eastAsia="zh-CN"/>
              </w:rPr>
            </w:pPr>
            <w:r>
              <w:rPr>
                <w:rFonts w:hint="eastAsia" w:ascii="宋体" w:hAnsi="宋体" w:eastAsia="宋体"/>
                <w:szCs w:val="21"/>
              </w:rPr>
              <w:t>常熟市荧光灯具厂自建厂到08年期间，将危废填埋至厂区附近地下和河水中，诉求为全面清挖填埋危废。</w:t>
            </w:r>
          </w:p>
        </w:tc>
        <w:tc>
          <w:tcPr>
            <w:tcW w:w="6875" w:type="dxa"/>
            <w:shd w:val="clear" w:color="auto" w:fill="auto"/>
            <w:vAlign w:val="center"/>
          </w:tcPr>
          <w:p w14:paraId="6BE608C6">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rPr>
              <w:t>2026年3月13日，</w:t>
            </w:r>
            <w:r>
              <w:rPr>
                <w:rFonts w:hint="eastAsia" w:ascii="宋体" w:hAnsi="宋体" w:eastAsia="宋体"/>
                <w:szCs w:val="21"/>
                <w:lang w:eastAsia="zh-CN"/>
              </w:rPr>
              <w:t>常熟生态环境局</w:t>
            </w:r>
            <w:r>
              <w:rPr>
                <w:rFonts w:hint="eastAsia" w:ascii="宋体" w:hAnsi="宋体" w:eastAsia="宋体"/>
                <w:szCs w:val="21"/>
              </w:rPr>
              <w:t>会同常福街道办事处对常熟市江南照明电器有限公司及周边区域进行了现场检查。该公司原生产厂房用于出租，现有4家经编织造企业入驻。经对该公司相关人员调查询问，该公司曾从事荧光节能灯生产，2008年之前，因环保意识不强，生产过程中确实存在将废弃物倾倒在厂区旁河浜内的情况。前期，常福街道办事处已通过委托第三方检测确定倾倒点位。根据现场检查情况，</w:t>
            </w:r>
            <w:r>
              <w:rPr>
                <w:rFonts w:hint="eastAsia" w:ascii="宋体" w:hAnsi="宋体" w:eastAsia="宋体"/>
                <w:szCs w:val="21"/>
                <w:lang w:eastAsia="zh-CN"/>
              </w:rPr>
              <w:t>常熟生态环境局</w:t>
            </w:r>
            <w:r>
              <w:rPr>
                <w:rFonts w:hint="eastAsia" w:ascii="宋体" w:hAnsi="宋体" w:eastAsia="宋体"/>
                <w:szCs w:val="21"/>
              </w:rPr>
              <w:t>要求常熟市江南照明电器有限公司立即开展清理处置工作，目前该公司已制定清理处置方案。常福街道办事处计划于4月20日指导企业组织开展清理处置工作，及时消除环境隐患。</w:t>
            </w:r>
          </w:p>
        </w:tc>
        <w:tc>
          <w:tcPr>
            <w:tcW w:w="1773" w:type="dxa"/>
            <w:vAlign w:val="center"/>
          </w:tcPr>
          <w:p w14:paraId="3385E13E">
            <w:pPr>
              <w:adjustRightInd w:val="0"/>
              <w:spacing w:line="240" w:lineRule="auto"/>
              <w:rPr>
                <w:rFonts w:ascii="Times New Roman" w:hAnsi="Times New Roman" w:cs="Times New Roman" w:eastAsiaTheme="majorEastAsia"/>
                <w:szCs w:val="21"/>
              </w:rPr>
            </w:pPr>
          </w:p>
        </w:tc>
      </w:tr>
      <w:tr w14:paraId="72EDB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98" w:hRule="atLeast"/>
        </w:trPr>
        <w:tc>
          <w:tcPr>
            <w:tcW w:w="531" w:type="dxa"/>
            <w:shd w:val="clear" w:color="auto" w:fill="auto"/>
            <w:vAlign w:val="center"/>
          </w:tcPr>
          <w:p w14:paraId="62B3B57D">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3</w:t>
            </w:r>
          </w:p>
        </w:tc>
        <w:tc>
          <w:tcPr>
            <w:tcW w:w="1066" w:type="dxa"/>
            <w:shd w:val="clear" w:color="auto" w:fill="auto"/>
            <w:vAlign w:val="center"/>
          </w:tcPr>
          <w:p w14:paraId="7E6B1670">
            <w:pPr>
              <w:spacing w:line="240" w:lineRule="auto"/>
              <w:jc w:val="center"/>
              <w:rPr>
                <w:rFonts w:hint="eastAsia" w:ascii="宋体" w:hAnsi="宋体" w:eastAsia="宋体"/>
                <w:szCs w:val="21"/>
                <w:lang w:eastAsia="zh-CN"/>
              </w:rPr>
            </w:pPr>
            <w:r>
              <w:rPr>
                <w:rFonts w:hint="eastAsia" w:ascii="宋体" w:hAnsi="宋体" w:eastAsia="宋体"/>
                <w:szCs w:val="21"/>
                <w:lang w:eastAsia="zh-CN"/>
              </w:rPr>
              <w:t>太仓市</w:t>
            </w:r>
          </w:p>
        </w:tc>
        <w:tc>
          <w:tcPr>
            <w:tcW w:w="2976" w:type="dxa"/>
            <w:shd w:val="clear" w:color="auto" w:fill="auto"/>
            <w:vAlign w:val="center"/>
          </w:tcPr>
          <w:p w14:paraId="0349AEB8">
            <w:pPr>
              <w:spacing w:line="240" w:lineRule="auto"/>
              <w:rPr>
                <w:rFonts w:hint="eastAsia" w:ascii="宋体" w:hAnsi="宋体" w:eastAsia="宋体"/>
                <w:szCs w:val="21"/>
                <w:lang w:val="en-US" w:eastAsia="zh-CN"/>
              </w:rPr>
            </w:pPr>
            <w:r>
              <w:rPr>
                <w:rFonts w:hint="eastAsia" w:ascii="宋体" w:hAnsi="宋体" w:eastAsia="宋体"/>
                <w:szCs w:val="21"/>
              </w:rPr>
              <w:t>苏州绿香源食品有限公司在排放废气，臭味扰民</w:t>
            </w:r>
          </w:p>
        </w:tc>
        <w:tc>
          <w:tcPr>
            <w:tcW w:w="6875" w:type="dxa"/>
            <w:shd w:val="clear" w:color="auto" w:fill="auto"/>
            <w:vAlign w:val="center"/>
          </w:tcPr>
          <w:p w14:paraId="557A8320">
            <w:pPr>
              <w:spacing w:line="240" w:lineRule="auto"/>
              <w:ind w:firstLine="420" w:firstLineChars="200"/>
              <w:rPr>
                <w:rFonts w:hint="eastAsia" w:ascii="宋体" w:hAnsi="宋体" w:eastAsia="宋体"/>
                <w:szCs w:val="21"/>
                <w:lang w:val="en-US" w:eastAsia="zh-CN"/>
              </w:rPr>
            </w:pPr>
            <w:bookmarkStart w:id="0" w:name="_GoBack"/>
            <w:bookmarkEnd w:id="0"/>
            <w:r>
              <w:rPr>
                <w:rFonts w:hint="eastAsia" w:ascii="宋体" w:hAnsi="宋体" w:eastAsia="宋体"/>
                <w:szCs w:val="21"/>
              </w:rPr>
              <w:t>经查，绿香源食品有限公司厂房租赁协议已到期，法院已判决绿香源将租赁的房屋及土地腾退给沙溪镇集体资产经营有限公司。目前公司原料油储罐已基本清空，近期正在清理皂角罐及成品油罐。</w:t>
            </w:r>
            <w:r>
              <w:rPr>
                <w:rFonts w:hint="eastAsia" w:ascii="宋体" w:hAnsi="宋体" w:eastAsia="宋体"/>
                <w:szCs w:val="21"/>
                <w:lang w:eastAsia="zh-CN"/>
              </w:rPr>
              <w:t>太仓生态环境局</w:t>
            </w:r>
            <w:r>
              <w:rPr>
                <w:rFonts w:hint="eastAsia" w:ascii="宋体" w:hAnsi="宋体" w:eastAsia="宋体"/>
                <w:szCs w:val="21"/>
              </w:rPr>
              <w:t>已要求该公司在收尾过程加强管理，规范化处理各类污染物，杜绝环境安全发生事故。</w:t>
            </w:r>
          </w:p>
        </w:tc>
        <w:tc>
          <w:tcPr>
            <w:tcW w:w="1773" w:type="dxa"/>
            <w:vAlign w:val="center"/>
          </w:tcPr>
          <w:p w14:paraId="280E5F3B">
            <w:pPr>
              <w:adjustRightInd w:val="0"/>
              <w:spacing w:line="240" w:lineRule="auto"/>
              <w:rPr>
                <w:rFonts w:ascii="Times New Roman" w:hAnsi="Times New Roman" w:cs="Times New Roman" w:eastAsiaTheme="majorEastAsia"/>
                <w:szCs w:val="21"/>
              </w:rPr>
            </w:pPr>
          </w:p>
        </w:tc>
      </w:tr>
      <w:tr w14:paraId="79A648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34" w:hRule="atLeast"/>
        </w:trPr>
        <w:tc>
          <w:tcPr>
            <w:tcW w:w="531" w:type="dxa"/>
            <w:shd w:val="clear" w:color="auto" w:fill="auto"/>
            <w:vAlign w:val="center"/>
          </w:tcPr>
          <w:p w14:paraId="468E393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4</w:t>
            </w:r>
          </w:p>
        </w:tc>
        <w:tc>
          <w:tcPr>
            <w:tcW w:w="1066" w:type="dxa"/>
            <w:shd w:val="clear" w:color="auto" w:fill="auto"/>
            <w:vAlign w:val="center"/>
          </w:tcPr>
          <w:p w14:paraId="23A31216">
            <w:pPr>
              <w:spacing w:line="240" w:lineRule="auto"/>
              <w:jc w:val="center"/>
              <w:rPr>
                <w:rFonts w:hint="eastAsia" w:ascii="宋体" w:hAnsi="宋体" w:eastAsia="宋体"/>
                <w:szCs w:val="21"/>
                <w:lang w:eastAsia="zh-CN"/>
              </w:rPr>
            </w:pPr>
            <w:r>
              <w:rPr>
                <w:rFonts w:hint="eastAsia" w:ascii="宋体" w:hAnsi="宋体" w:eastAsia="宋体"/>
                <w:szCs w:val="21"/>
                <w:lang w:eastAsia="zh-CN"/>
              </w:rPr>
              <w:t>昆山市</w:t>
            </w:r>
          </w:p>
        </w:tc>
        <w:tc>
          <w:tcPr>
            <w:tcW w:w="2976" w:type="dxa"/>
            <w:shd w:val="clear" w:color="auto" w:fill="auto"/>
            <w:vAlign w:val="center"/>
          </w:tcPr>
          <w:p w14:paraId="704823D1">
            <w:pPr>
              <w:spacing w:line="240" w:lineRule="auto"/>
              <w:rPr>
                <w:rFonts w:hint="eastAsia" w:ascii="宋体" w:hAnsi="宋体" w:eastAsia="宋体"/>
                <w:szCs w:val="21"/>
                <w:lang w:val="en-US" w:eastAsia="zh-CN"/>
              </w:rPr>
            </w:pPr>
            <w:r>
              <w:rPr>
                <w:rFonts w:hint="eastAsia" w:ascii="宋体" w:hAnsi="宋体" w:eastAsia="宋体"/>
                <w:szCs w:val="21"/>
                <w:lang w:eastAsia="zh-CN"/>
              </w:rPr>
              <w:t>昆山阿尔法陈列展示有限公司车间内有激光切割设备，长期切割塑料类材料，产生大量带有强烈塑料味的刺鼻烟气，未安装任何废气收集和净化处理设施，烟气无组织直排到车间及室外。</w:t>
            </w:r>
          </w:p>
        </w:tc>
        <w:tc>
          <w:tcPr>
            <w:tcW w:w="6875" w:type="dxa"/>
            <w:shd w:val="clear" w:color="auto" w:fill="auto"/>
            <w:vAlign w:val="center"/>
          </w:tcPr>
          <w:p w14:paraId="6A73CF2C">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昆山生态环境局执法人员</w:t>
            </w:r>
            <w:r>
              <w:rPr>
                <w:rFonts w:hint="eastAsia" w:ascii="宋体" w:hAnsi="宋体" w:eastAsia="宋体"/>
                <w:szCs w:val="21"/>
                <w:lang w:eastAsia="zh-CN"/>
              </w:rPr>
              <w:t>于4月17日对昆山阿尔法陈列展示有限公司开展信访检查。该公司现场建设有UV机、亚克力激光机、亚克力雕刻机等设备，其中UV机、亚克力激光机配套建设有活性炭废气处理设施，亚克力雕刻机配套建设有布袋除尘设施。现场检查时，上述工段均在生产，布袋除尘设施正在运行，活性炭废气处理设施风机未在运行。 针对检查情况，</w:t>
            </w:r>
            <w:r>
              <w:rPr>
                <w:rFonts w:hint="eastAsia" w:ascii="宋体" w:hAnsi="宋体" w:eastAsia="宋体"/>
                <w:szCs w:val="21"/>
                <w:lang w:val="en-US" w:eastAsia="zh-CN"/>
              </w:rPr>
              <w:t>昆山生态环境局执法人员</w:t>
            </w:r>
            <w:r>
              <w:rPr>
                <w:rFonts w:hint="eastAsia" w:ascii="宋体" w:hAnsi="宋体" w:eastAsia="宋体"/>
                <w:szCs w:val="21"/>
                <w:lang w:eastAsia="zh-CN"/>
              </w:rPr>
              <w:t>已要求该公司负责人加强废气处理设施的点检维护工作，保障各类污染物达标排放。同时，针对该公司配套的活性炭废气处理设施未开启的行为，</w:t>
            </w:r>
            <w:r>
              <w:rPr>
                <w:rFonts w:hint="eastAsia" w:ascii="宋体" w:hAnsi="宋体" w:eastAsia="宋体"/>
                <w:szCs w:val="21"/>
                <w:lang w:val="en-US" w:eastAsia="zh-CN"/>
              </w:rPr>
              <w:t>昆山生态环境局</w:t>
            </w:r>
            <w:r>
              <w:rPr>
                <w:rFonts w:hint="eastAsia" w:ascii="宋体" w:hAnsi="宋体" w:eastAsia="宋体"/>
                <w:szCs w:val="21"/>
                <w:lang w:eastAsia="zh-CN"/>
              </w:rPr>
              <w:t>将依据环保相关法律法规开展立案调查。</w:t>
            </w:r>
          </w:p>
        </w:tc>
        <w:tc>
          <w:tcPr>
            <w:tcW w:w="1773" w:type="dxa"/>
            <w:vAlign w:val="center"/>
          </w:tcPr>
          <w:p w14:paraId="45CDC0FC">
            <w:pPr>
              <w:adjustRightInd w:val="0"/>
              <w:spacing w:line="240" w:lineRule="auto"/>
              <w:rPr>
                <w:rFonts w:ascii="Times New Roman" w:hAnsi="Times New Roman" w:cs="Times New Roman" w:eastAsiaTheme="majorEastAsia"/>
                <w:szCs w:val="21"/>
              </w:rPr>
            </w:pPr>
          </w:p>
        </w:tc>
      </w:tr>
      <w:tr w14:paraId="457D7A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01" w:hRule="atLeast"/>
        </w:trPr>
        <w:tc>
          <w:tcPr>
            <w:tcW w:w="531" w:type="dxa"/>
            <w:shd w:val="clear" w:color="auto" w:fill="auto"/>
            <w:vAlign w:val="center"/>
          </w:tcPr>
          <w:p w14:paraId="0A7090D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5</w:t>
            </w:r>
          </w:p>
        </w:tc>
        <w:tc>
          <w:tcPr>
            <w:tcW w:w="1066" w:type="dxa"/>
            <w:shd w:val="clear" w:color="auto" w:fill="auto"/>
            <w:vAlign w:val="center"/>
          </w:tcPr>
          <w:p w14:paraId="411E885E">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吴江区</w:t>
            </w:r>
          </w:p>
        </w:tc>
        <w:tc>
          <w:tcPr>
            <w:tcW w:w="2976" w:type="dxa"/>
            <w:shd w:val="clear" w:color="auto" w:fill="auto"/>
            <w:vAlign w:val="center"/>
          </w:tcPr>
          <w:p w14:paraId="4E3D0070">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震泽镇頔塘路3708号的吴江三联复合材料有限责任公司外南面的工厂（联峰橡塑纺织有限公司），出现马达的声音噪音扰民，时间：每天24小时，故投诉，希望减少噪音，希望部门处理。</w:t>
            </w:r>
          </w:p>
        </w:tc>
        <w:tc>
          <w:tcPr>
            <w:tcW w:w="6875" w:type="dxa"/>
            <w:shd w:val="clear" w:color="auto" w:fill="auto"/>
            <w:vAlign w:val="center"/>
          </w:tcPr>
          <w:p w14:paraId="315399E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eastAsia="zh-CN"/>
              </w:rPr>
              <w:t>吴江生态环境局组织工作人员至现场进行排查，经查，该企业主要从事电梯压块项目的生产，由于搅拌机轴承故障，导致有噪音产生，目前该搅拌机正在停机修复中，吴江生态环境局执法人员已责令企业负责人在未修复完成前，不得再次使用该故障搅拌机。感谢您的来电！</w:t>
            </w:r>
          </w:p>
        </w:tc>
        <w:tc>
          <w:tcPr>
            <w:tcW w:w="1773" w:type="dxa"/>
            <w:vAlign w:val="center"/>
          </w:tcPr>
          <w:p w14:paraId="080B4F2C">
            <w:pPr>
              <w:adjustRightInd w:val="0"/>
              <w:spacing w:line="240" w:lineRule="auto"/>
              <w:rPr>
                <w:rFonts w:ascii="Times New Roman" w:hAnsi="Times New Roman" w:cs="Times New Roman" w:eastAsiaTheme="majorEastAsia"/>
                <w:szCs w:val="21"/>
              </w:rPr>
            </w:pPr>
          </w:p>
        </w:tc>
      </w:tr>
      <w:tr w14:paraId="1FD243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97" w:hRule="atLeast"/>
        </w:trPr>
        <w:tc>
          <w:tcPr>
            <w:tcW w:w="531" w:type="dxa"/>
            <w:shd w:val="clear" w:color="auto" w:fill="auto"/>
            <w:vAlign w:val="center"/>
          </w:tcPr>
          <w:p w14:paraId="7F4BDDAB">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6</w:t>
            </w:r>
          </w:p>
        </w:tc>
        <w:tc>
          <w:tcPr>
            <w:tcW w:w="1066" w:type="dxa"/>
            <w:shd w:val="clear" w:color="auto" w:fill="auto"/>
            <w:vAlign w:val="center"/>
          </w:tcPr>
          <w:p w14:paraId="70348C81">
            <w:pPr>
              <w:spacing w:line="240" w:lineRule="auto"/>
              <w:jc w:val="center"/>
              <w:rPr>
                <w:rFonts w:hint="eastAsia" w:ascii="宋体" w:hAnsi="宋体" w:eastAsia="宋体"/>
                <w:szCs w:val="21"/>
                <w:lang w:eastAsia="zh-CN"/>
              </w:rPr>
            </w:pPr>
            <w:r>
              <w:rPr>
                <w:rFonts w:hint="eastAsia" w:ascii="宋体" w:hAnsi="宋体" w:eastAsia="宋体"/>
                <w:szCs w:val="21"/>
                <w:lang w:eastAsia="zh-CN"/>
              </w:rPr>
              <w:t>吴中区</w:t>
            </w:r>
          </w:p>
        </w:tc>
        <w:tc>
          <w:tcPr>
            <w:tcW w:w="2976" w:type="dxa"/>
            <w:shd w:val="clear" w:color="auto" w:fill="auto"/>
            <w:vAlign w:val="center"/>
          </w:tcPr>
          <w:p w14:paraId="5575ACAB">
            <w:pPr>
              <w:spacing w:line="240" w:lineRule="auto"/>
              <w:rPr>
                <w:rFonts w:hint="eastAsia" w:ascii="宋体" w:hAnsi="宋体" w:eastAsia="宋体"/>
                <w:szCs w:val="21"/>
                <w:lang w:val="en-US" w:eastAsia="zh-CN"/>
              </w:rPr>
            </w:pPr>
            <w:r>
              <w:rPr>
                <w:rFonts w:hint="eastAsia" w:ascii="宋体" w:hAnsi="宋体" w:eastAsia="宋体"/>
                <w:szCs w:val="21"/>
                <w:lang w:eastAsia="zh-CN"/>
              </w:rPr>
              <w:t>位于吴中甪直府澄路8号的锦园土菜馆，其油烟排口正对后方的商户，油烟扰民，诉求为调整排口位置或方向，或者加高排口</w:t>
            </w:r>
          </w:p>
        </w:tc>
        <w:tc>
          <w:tcPr>
            <w:tcW w:w="6875" w:type="dxa"/>
            <w:shd w:val="clear" w:color="auto" w:fill="auto"/>
            <w:vAlign w:val="center"/>
          </w:tcPr>
          <w:p w14:paraId="493448F8">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eastAsia="zh-CN"/>
              </w:rPr>
              <w:t>经查，投诉人反映的实为“吴中区甪直锦源土菜馆”，位于吴中区甪直镇甫澄中路8号，主要从事中式餐饮服务。现场检查时，商户正在经营，商户已安装简易油烟净化装置，但未及时清洗、维保。执法人员已现场要求商户使用有效的油烟净化装置，经营时必须开启油烟净化器，定期清洗油烟净化器，做好清洗台账记录，并调整排气筒高度，确保合规排放。目前该商户已更换油烟净化设备、加高排气筒。</w:t>
            </w:r>
          </w:p>
        </w:tc>
        <w:tc>
          <w:tcPr>
            <w:tcW w:w="1773" w:type="dxa"/>
            <w:vAlign w:val="center"/>
          </w:tcPr>
          <w:p w14:paraId="75596FF7">
            <w:pPr>
              <w:adjustRightInd w:val="0"/>
              <w:spacing w:line="240" w:lineRule="auto"/>
              <w:rPr>
                <w:rFonts w:ascii="Times New Roman" w:hAnsi="Times New Roman" w:cs="Times New Roman" w:eastAsiaTheme="majorEastAsia"/>
                <w:szCs w:val="21"/>
              </w:rPr>
            </w:pPr>
          </w:p>
        </w:tc>
      </w:tr>
      <w:tr w14:paraId="20BEA9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04" w:hRule="atLeast"/>
        </w:trPr>
        <w:tc>
          <w:tcPr>
            <w:tcW w:w="531" w:type="dxa"/>
            <w:shd w:val="clear" w:color="auto" w:fill="auto"/>
            <w:vAlign w:val="center"/>
          </w:tcPr>
          <w:p w14:paraId="7DE85F65">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7</w:t>
            </w:r>
          </w:p>
        </w:tc>
        <w:tc>
          <w:tcPr>
            <w:tcW w:w="1066" w:type="dxa"/>
            <w:shd w:val="clear" w:color="auto" w:fill="auto"/>
            <w:vAlign w:val="center"/>
          </w:tcPr>
          <w:p w14:paraId="4729B4DE">
            <w:pPr>
              <w:spacing w:line="240" w:lineRule="auto"/>
              <w:jc w:val="center"/>
              <w:rPr>
                <w:rFonts w:hint="eastAsia" w:ascii="宋体" w:hAnsi="宋体" w:eastAsia="宋体"/>
                <w:szCs w:val="21"/>
                <w:lang w:eastAsia="zh-CN"/>
              </w:rPr>
            </w:pPr>
            <w:r>
              <w:rPr>
                <w:rFonts w:hint="eastAsia" w:ascii="宋体" w:hAnsi="宋体" w:eastAsia="宋体"/>
                <w:szCs w:val="21"/>
                <w:lang w:eastAsia="zh-CN"/>
              </w:rPr>
              <w:t>相城区</w:t>
            </w:r>
          </w:p>
        </w:tc>
        <w:tc>
          <w:tcPr>
            <w:tcW w:w="2976" w:type="dxa"/>
            <w:shd w:val="clear" w:color="auto" w:fill="auto"/>
            <w:vAlign w:val="center"/>
          </w:tcPr>
          <w:p w14:paraId="65194E65">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相城区春申湖西路与广济北路交叉口奇瑞新能源苏州华兆相城店，没有环保资质且喷漆污水胡乱排放，故来电投诉，望部门处理。</w:t>
            </w:r>
          </w:p>
        </w:tc>
        <w:tc>
          <w:tcPr>
            <w:tcW w:w="6875" w:type="dxa"/>
            <w:shd w:val="clear" w:color="auto" w:fill="auto"/>
            <w:vAlign w:val="center"/>
          </w:tcPr>
          <w:p w14:paraId="109C27D9">
            <w:pPr>
              <w:spacing w:line="240" w:lineRule="auto"/>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2026年4月8日，苏州市相城生态环境局对投诉人反映的内容开展现场检查。经查，投诉人反映的企业为苏州华兆新能源汽车销售服务有限公司，位于相城区黄桥街道春申湖西路901号东侧第二栋，主要从事奇瑞新能源汽车的售后维修，不从事洗车服务。根据《建设项目环境影响评价分类管理名录》（2021年版），该企业现有项目不需要开展环境影响评价。</w:t>
            </w:r>
            <w:r>
              <w:rPr>
                <w:rFonts w:hint="eastAsia" w:ascii="宋体" w:hAnsi="宋体" w:eastAsia="宋体"/>
                <w:szCs w:val="21"/>
                <w:lang w:val="en-US" w:eastAsia="zh-CN"/>
              </w:rPr>
              <w:br w:type="textWrapping"/>
            </w:r>
            <w:r>
              <w:rPr>
                <w:rFonts w:hint="eastAsia" w:ascii="宋体" w:hAnsi="宋体" w:eastAsia="宋体"/>
                <w:szCs w:val="21"/>
                <w:lang w:val="en-US" w:eastAsia="zh-CN"/>
              </w:rPr>
              <w:t>现场检查时，该企业正在从事汽车维修业务。检查时，发现该企业建有一个钣金车间，内设两个烤漆房，烤漆工艺配套一套废气收集处理系统，废气处理工艺为活性炭吸附；检查当时，烤漆房不在使用，废气收集处理系统能正常启运，但部分填装的活性炭出现板结现象，企业随后即更换了活性炭。现场已要求企业加强管理，做好生产废气收集、处置工作，加强配套废气处理设施维护保养，确保正常运行。</w:t>
            </w:r>
          </w:p>
        </w:tc>
        <w:tc>
          <w:tcPr>
            <w:tcW w:w="1773" w:type="dxa"/>
            <w:vAlign w:val="center"/>
          </w:tcPr>
          <w:p w14:paraId="239013A8">
            <w:pPr>
              <w:adjustRightInd w:val="0"/>
              <w:spacing w:line="240" w:lineRule="auto"/>
              <w:rPr>
                <w:rFonts w:ascii="Times New Roman" w:hAnsi="Times New Roman" w:cs="Times New Roman" w:eastAsiaTheme="majorEastAsia"/>
                <w:szCs w:val="21"/>
              </w:rPr>
            </w:pPr>
          </w:p>
        </w:tc>
      </w:tr>
      <w:tr w14:paraId="43FCEB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21" w:hRule="atLeast"/>
        </w:trPr>
        <w:tc>
          <w:tcPr>
            <w:tcW w:w="531" w:type="dxa"/>
            <w:shd w:val="clear" w:color="auto" w:fill="auto"/>
            <w:vAlign w:val="center"/>
          </w:tcPr>
          <w:p w14:paraId="39B5CB2A">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8</w:t>
            </w:r>
          </w:p>
        </w:tc>
        <w:tc>
          <w:tcPr>
            <w:tcW w:w="1066" w:type="dxa"/>
            <w:shd w:val="clear" w:color="auto" w:fill="auto"/>
            <w:vAlign w:val="center"/>
          </w:tcPr>
          <w:p w14:paraId="0DA0A726">
            <w:pPr>
              <w:spacing w:line="240" w:lineRule="auto"/>
              <w:jc w:val="center"/>
              <w:rPr>
                <w:rFonts w:hint="eastAsia" w:ascii="宋体" w:hAnsi="宋体" w:eastAsia="宋体"/>
                <w:szCs w:val="21"/>
                <w:lang w:eastAsia="zh-CN"/>
              </w:rPr>
            </w:pPr>
            <w:r>
              <w:rPr>
                <w:rFonts w:hint="eastAsia" w:ascii="宋体" w:hAnsi="宋体" w:eastAsia="宋体"/>
                <w:szCs w:val="21"/>
                <w:lang w:eastAsia="zh-CN"/>
              </w:rPr>
              <w:t>姑苏区</w:t>
            </w:r>
          </w:p>
        </w:tc>
        <w:tc>
          <w:tcPr>
            <w:tcW w:w="2976" w:type="dxa"/>
            <w:shd w:val="clear" w:color="auto" w:fill="auto"/>
            <w:vAlign w:val="center"/>
          </w:tcPr>
          <w:p w14:paraId="65C03F93">
            <w:pPr>
              <w:spacing w:line="240" w:lineRule="auto"/>
              <w:rPr>
                <w:rFonts w:hint="default" w:ascii="宋体" w:hAnsi="宋体" w:eastAsia="宋体"/>
                <w:szCs w:val="21"/>
                <w:lang w:val="en-US" w:eastAsia="zh-CN"/>
              </w:rPr>
            </w:pPr>
            <w:r>
              <w:rPr>
                <w:rFonts w:hint="eastAsia" w:ascii="宋体" w:hAnsi="宋体" w:eastAsia="宋体"/>
                <w:szCs w:val="21"/>
                <w:lang w:val="en-US" w:eastAsia="zh-CN"/>
              </w:rPr>
              <w:t>苏州市姑苏区广济南路18号中盛艾美负一楼油烟扰民</w:t>
            </w:r>
          </w:p>
        </w:tc>
        <w:tc>
          <w:tcPr>
            <w:tcW w:w="6875" w:type="dxa"/>
            <w:shd w:val="clear" w:color="auto" w:fill="auto"/>
            <w:vAlign w:val="center"/>
          </w:tcPr>
          <w:p w14:paraId="2AF04B53">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 xml:space="preserve">    3月26日，姑苏生态环境局执法人员联合金阊街道对广济南路18号中盛艾美广场进行现场执法检查。经查，中盛艾美广场物业管理方将负一楼区域租赁予苏州贵龙餐饮管理有限公司用于餐饮服务经营，后由贵龙餐饮转租给各个体商户。现场核实负一楼共有小型餐饮店铺17家，其中9家在运营，8家待出租。各店铺均安装有油烟净化装置，油烟经内部管道引至楼顶高空排放。要求贵龙餐饮及时对各店铺内的油烟净化装置进行清洗维护并提供清洗报告。同时，督促物业管理方强化日常监管，建立巡检制度。对油烟管道、风机等设施加强日常维护，确保油烟有效收集处理，切实减少对周边环境的影响。</w:t>
            </w:r>
          </w:p>
        </w:tc>
        <w:tc>
          <w:tcPr>
            <w:tcW w:w="1773" w:type="dxa"/>
            <w:vAlign w:val="center"/>
          </w:tcPr>
          <w:p w14:paraId="6FBCE74E">
            <w:pPr>
              <w:adjustRightInd w:val="0"/>
              <w:spacing w:line="240" w:lineRule="auto"/>
              <w:rPr>
                <w:rFonts w:ascii="Times New Roman" w:hAnsi="Times New Roman" w:cs="Times New Roman" w:eastAsiaTheme="majorEastAsia"/>
                <w:szCs w:val="21"/>
              </w:rPr>
            </w:pPr>
          </w:p>
        </w:tc>
      </w:tr>
      <w:tr w14:paraId="3868B3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7" w:hRule="atLeast"/>
        </w:trPr>
        <w:tc>
          <w:tcPr>
            <w:tcW w:w="531" w:type="dxa"/>
            <w:shd w:val="clear" w:color="auto" w:fill="auto"/>
            <w:vAlign w:val="center"/>
          </w:tcPr>
          <w:p w14:paraId="4E3F6548">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9</w:t>
            </w:r>
          </w:p>
        </w:tc>
        <w:tc>
          <w:tcPr>
            <w:tcW w:w="1066" w:type="dxa"/>
            <w:shd w:val="clear" w:color="auto" w:fill="auto"/>
            <w:vAlign w:val="center"/>
          </w:tcPr>
          <w:p w14:paraId="1712F1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工业园区</w:t>
            </w:r>
          </w:p>
        </w:tc>
        <w:tc>
          <w:tcPr>
            <w:tcW w:w="2976" w:type="dxa"/>
            <w:shd w:val="clear" w:color="auto" w:fill="auto"/>
            <w:vAlign w:val="center"/>
          </w:tcPr>
          <w:p w14:paraId="60BD6165">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反映卡特彼勒（苏州）有限公司擅自停用焊接废气处理设施、通过屋顶风机排放焊接烟尘问题</w:t>
            </w:r>
          </w:p>
          <w:p w14:paraId="779807AA">
            <w:pPr>
              <w:spacing w:line="240" w:lineRule="auto"/>
              <w:rPr>
                <w:rFonts w:hint="eastAsia" w:ascii="宋体" w:hAnsi="宋体" w:eastAsia="宋体"/>
                <w:szCs w:val="21"/>
                <w:lang w:val="en-US" w:eastAsia="zh-CN"/>
              </w:rPr>
            </w:pPr>
          </w:p>
        </w:tc>
        <w:tc>
          <w:tcPr>
            <w:tcW w:w="6875" w:type="dxa"/>
            <w:shd w:val="clear" w:color="auto" w:fill="auto"/>
            <w:vAlign w:val="center"/>
          </w:tcPr>
          <w:p w14:paraId="4C3A81D8">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宋体" w:hAnsi="宋体" w:eastAsia="宋体"/>
                <w:szCs w:val="21"/>
                <w:lang w:val="en-US" w:eastAsia="zh-CN"/>
              </w:rPr>
            </w:pPr>
            <w:r>
              <w:rPr>
                <w:rFonts w:hint="eastAsia" w:ascii="宋体" w:hAnsi="宋体" w:eastAsia="宋体"/>
                <w:szCs w:val="21"/>
                <w:lang w:val="en-US" w:eastAsia="zh-CN"/>
              </w:rPr>
              <w:t>针对举报人反映的情况，执法人员于2026年2月25日至卡特彼勒公司现场检查，该公司含颗粒物废气为喷涂、补漆、燃烧及焊接生产过程中产生，其中喷涂废气经活性炭脱附+催化燃烧处理后通过排气筒排放；补漆废气经过滤棉+活性炭吸附处理后通过排气筒排放；燃烧废气通过排气筒直接排放；焊接烟尘车间内无组织排放，排放方式均与排污许可证一致。现场查看该公司环评，环评载明焊接烟尘直接于车间内无组织排放，通过10个换风系统排入外环境。该公司现场共有焊接机器人16台、手工焊机100台，其中部分焊接机器人自带烟尘处理设施，装载机车架相关手工焊接工位及部分平地机车架手工焊接工位设有烟尘处理设施，检查时该公司部分焊接工位正在生产，在产工位对应的烟尘处理设施及屋顶排风扇均处于运行状态。调阅该公司近5年自测报告，厂界无组织颗粒物浓度均符合相关排放标准要求。</w:t>
            </w:r>
          </w:p>
          <w:p w14:paraId="29429162">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宋体" w:hAnsi="宋体" w:eastAsia="宋体"/>
                <w:szCs w:val="21"/>
                <w:lang w:val="en-US" w:eastAsia="zh-CN"/>
              </w:rPr>
            </w:pPr>
            <w:r>
              <w:rPr>
                <w:rFonts w:hint="eastAsia" w:ascii="宋体" w:hAnsi="宋体" w:eastAsia="宋体"/>
                <w:szCs w:val="21"/>
                <w:lang w:val="en-US" w:eastAsia="zh-CN"/>
              </w:rPr>
              <w:t>为提升焊接车间环境减少烟尘无组织排放，卡特彼勒公司已计划对全部焊接工位废气进行收集处理，目前该公司已将相关改造纳入新编制的改建项目环评报告表“以新带老”措施中。后续我局将持续跟踪卡特彼勒公司焊接烟尘收集处理改造，并继续加强对该公司的环境监管，若查实其存在环境违法行为，将依法严肃处理；同时要求该公司进一步强化环境管理，完善各类环保设施管理措施，按规范做好环保管理台账，有效落实生态环境保护主体责任。</w:t>
            </w:r>
          </w:p>
        </w:tc>
        <w:tc>
          <w:tcPr>
            <w:tcW w:w="1773" w:type="dxa"/>
            <w:vAlign w:val="center"/>
          </w:tcPr>
          <w:p w14:paraId="73DF4F11">
            <w:pPr>
              <w:adjustRightInd w:val="0"/>
              <w:spacing w:line="240" w:lineRule="auto"/>
              <w:rPr>
                <w:rFonts w:ascii="Times New Roman" w:hAnsi="Times New Roman" w:cs="Times New Roman" w:eastAsiaTheme="majorEastAsia"/>
                <w:szCs w:val="21"/>
              </w:rPr>
            </w:pPr>
          </w:p>
        </w:tc>
      </w:tr>
      <w:tr w14:paraId="70652E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12" w:hRule="atLeast"/>
        </w:trPr>
        <w:tc>
          <w:tcPr>
            <w:tcW w:w="531" w:type="dxa"/>
            <w:shd w:val="clear" w:color="auto" w:fill="auto"/>
            <w:vAlign w:val="center"/>
          </w:tcPr>
          <w:p w14:paraId="5E6DF793">
            <w:pPr>
              <w:spacing w:line="240" w:lineRule="auto"/>
              <w:jc w:val="center"/>
              <w:rPr>
                <w:rFonts w:hint="default" w:ascii="宋体" w:hAnsi="宋体" w:eastAsia="宋体"/>
                <w:szCs w:val="21"/>
                <w:lang w:val="en-US" w:eastAsia="zh-CN"/>
              </w:rPr>
            </w:pPr>
            <w:r>
              <w:rPr>
                <w:rFonts w:hint="eastAsia" w:ascii="宋体" w:hAnsi="宋体" w:eastAsia="宋体"/>
                <w:szCs w:val="21"/>
                <w:lang w:val="en-US" w:eastAsia="zh-CN"/>
              </w:rPr>
              <w:t>10</w:t>
            </w:r>
          </w:p>
        </w:tc>
        <w:tc>
          <w:tcPr>
            <w:tcW w:w="1066" w:type="dxa"/>
            <w:shd w:val="clear" w:color="auto" w:fill="auto"/>
            <w:vAlign w:val="center"/>
          </w:tcPr>
          <w:p w14:paraId="0EBFAD21">
            <w:pPr>
              <w:spacing w:line="240" w:lineRule="auto"/>
              <w:jc w:val="center"/>
              <w:rPr>
                <w:rFonts w:hint="eastAsia" w:ascii="宋体" w:hAnsi="宋体" w:eastAsia="宋体"/>
                <w:szCs w:val="21"/>
                <w:lang w:eastAsia="zh-CN"/>
              </w:rPr>
            </w:pPr>
            <w:r>
              <w:rPr>
                <w:rFonts w:hint="eastAsia" w:ascii="宋体" w:hAnsi="宋体" w:eastAsia="宋体"/>
                <w:szCs w:val="21"/>
                <w:lang w:eastAsia="zh-CN"/>
              </w:rPr>
              <w:t>高新区</w:t>
            </w:r>
          </w:p>
        </w:tc>
        <w:tc>
          <w:tcPr>
            <w:tcW w:w="2976" w:type="dxa"/>
            <w:shd w:val="clear" w:color="auto" w:fill="auto"/>
            <w:vAlign w:val="center"/>
          </w:tcPr>
          <w:p w14:paraId="13EFF056">
            <w:pPr>
              <w:spacing w:line="240" w:lineRule="auto"/>
              <w:rPr>
                <w:rFonts w:hint="eastAsia" w:ascii="宋体" w:hAnsi="宋体" w:eastAsia="宋体"/>
                <w:szCs w:val="21"/>
                <w:lang w:val="en-US" w:eastAsia="zh-CN"/>
              </w:rPr>
            </w:pPr>
            <w:r>
              <w:rPr>
                <w:rFonts w:hint="eastAsia" w:ascii="宋体" w:hAnsi="宋体" w:eastAsia="宋体"/>
                <w:szCs w:val="21"/>
                <w:lang w:val="en-US" w:eastAsia="zh-CN"/>
              </w:rPr>
              <w:t>服务对象来电称苏州市亘晟涂装工程有限公司漓江路38号北侧，在进行喷漆，味道超级大，故来电投诉，希望相关部门前往制止和处理。</w:t>
            </w:r>
          </w:p>
        </w:tc>
        <w:tc>
          <w:tcPr>
            <w:tcW w:w="6875" w:type="dxa"/>
            <w:shd w:val="clear" w:color="auto" w:fill="auto"/>
            <w:vAlign w:val="center"/>
          </w:tcPr>
          <w:p w14:paraId="097F65B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szCs w:val="21"/>
                <w:lang w:val="en-US" w:eastAsia="zh-CN"/>
              </w:rPr>
            </w:pPr>
            <w:r>
              <w:rPr>
                <w:rFonts w:hint="eastAsia" w:ascii="宋体" w:hAnsi="宋体" w:eastAsia="宋体"/>
                <w:szCs w:val="21"/>
                <w:lang w:val="en-US" w:eastAsia="zh-CN"/>
              </w:rPr>
              <w:tab/>
            </w:r>
            <w:r>
              <w:rPr>
                <w:rFonts w:hint="eastAsia" w:ascii="宋体" w:hAnsi="宋体" w:eastAsia="宋体"/>
                <w:szCs w:val="21"/>
                <w:lang w:val="en-US" w:eastAsia="zh-CN"/>
              </w:rPr>
              <w:t>接到信访投诉后，苏州高新区（虎丘）生态环境综合行政执法局执法人员于 4 月 23 日，前往苏州市亘晟涂装工程有限公司开展现场核查。经查，企业所有喷漆作业均在密闭喷漆房内规范开展，喷漆废气经风琴纸、过滤棉结合活性炭吸附工艺处理后高空达标排放。现场核查中，企业提供了喷漆原料 MSDS 资料，生产所用原辅材料均为水性漆。同时，查阅企业最新自行监测报告，各项监测数据均无异常。执法人员现场约谈企业环保负责人，要求其进一步加密废气治理设施中风琴纸、过滤棉以及活性炭更换频次，落实治污设施常态化维护保养，持续削减异味排放，最大限度降低对周边环境的影响。</w:t>
            </w:r>
          </w:p>
        </w:tc>
        <w:tc>
          <w:tcPr>
            <w:tcW w:w="1773" w:type="dxa"/>
            <w:vAlign w:val="center"/>
          </w:tcPr>
          <w:p w14:paraId="0A3218E6">
            <w:pPr>
              <w:adjustRightInd w:val="0"/>
              <w:spacing w:line="240" w:lineRule="auto"/>
              <w:rPr>
                <w:rFonts w:ascii="Times New Roman" w:hAnsi="Times New Roman" w:cs="Times New Roman" w:eastAsiaTheme="majorEastAsia"/>
                <w:szCs w:val="21"/>
              </w:rPr>
            </w:pPr>
          </w:p>
        </w:tc>
      </w:tr>
    </w:tbl>
    <w:p w14:paraId="5130AFB6">
      <w:pPr>
        <w:spacing w:line="240" w:lineRule="auto"/>
        <w:rPr>
          <w:rFonts w:hint="eastAsia" w:asciiTheme="minorEastAsia" w:hAnsiTheme="minorEastAsia"/>
          <w:szCs w:val="21"/>
        </w:rPr>
      </w:pPr>
    </w:p>
    <w:sectPr>
      <w:pgSz w:w="16838" w:h="11906" w:orient="landscape"/>
      <w:pgMar w:top="1560" w:right="1440" w:bottom="1418"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C4F0B"/>
    <w:rsid w:val="000027D4"/>
    <w:rsid w:val="000055B7"/>
    <w:rsid w:val="00007CF9"/>
    <w:rsid w:val="000129BD"/>
    <w:rsid w:val="000134B2"/>
    <w:rsid w:val="0001624C"/>
    <w:rsid w:val="000179F5"/>
    <w:rsid w:val="00017CFE"/>
    <w:rsid w:val="00021508"/>
    <w:rsid w:val="0002242B"/>
    <w:rsid w:val="00023A1E"/>
    <w:rsid w:val="00024D76"/>
    <w:rsid w:val="0002544D"/>
    <w:rsid w:val="00025466"/>
    <w:rsid w:val="000259E1"/>
    <w:rsid w:val="00027B14"/>
    <w:rsid w:val="000336FC"/>
    <w:rsid w:val="00035407"/>
    <w:rsid w:val="00035D45"/>
    <w:rsid w:val="00036AAD"/>
    <w:rsid w:val="000406E4"/>
    <w:rsid w:val="00041A3F"/>
    <w:rsid w:val="00042406"/>
    <w:rsid w:val="00043871"/>
    <w:rsid w:val="00046F63"/>
    <w:rsid w:val="0004709C"/>
    <w:rsid w:val="000503B2"/>
    <w:rsid w:val="00050664"/>
    <w:rsid w:val="00053572"/>
    <w:rsid w:val="000564D7"/>
    <w:rsid w:val="0006462C"/>
    <w:rsid w:val="00071321"/>
    <w:rsid w:val="000719B2"/>
    <w:rsid w:val="00073001"/>
    <w:rsid w:val="00073E9C"/>
    <w:rsid w:val="00075D63"/>
    <w:rsid w:val="0007675D"/>
    <w:rsid w:val="00076D63"/>
    <w:rsid w:val="00076EDF"/>
    <w:rsid w:val="0008052C"/>
    <w:rsid w:val="00082BCB"/>
    <w:rsid w:val="00082FBD"/>
    <w:rsid w:val="00086142"/>
    <w:rsid w:val="00090F0B"/>
    <w:rsid w:val="000915CA"/>
    <w:rsid w:val="00097CAB"/>
    <w:rsid w:val="000A27CD"/>
    <w:rsid w:val="000A3442"/>
    <w:rsid w:val="000A5F60"/>
    <w:rsid w:val="000A6B7A"/>
    <w:rsid w:val="000B0457"/>
    <w:rsid w:val="000B05E0"/>
    <w:rsid w:val="000B144D"/>
    <w:rsid w:val="000B5ABA"/>
    <w:rsid w:val="000B78AF"/>
    <w:rsid w:val="000C6155"/>
    <w:rsid w:val="000C787A"/>
    <w:rsid w:val="000D2CF9"/>
    <w:rsid w:val="000D44B6"/>
    <w:rsid w:val="000D5E69"/>
    <w:rsid w:val="000E0088"/>
    <w:rsid w:val="000E06EB"/>
    <w:rsid w:val="000E5DC1"/>
    <w:rsid w:val="000E5E0E"/>
    <w:rsid w:val="000E722C"/>
    <w:rsid w:val="000E75F8"/>
    <w:rsid w:val="000F00B9"/>
    <w:rsid w:val="000F0FDD"/>
    <w:rsid w:val="000F10E8"/>
    <w:rsid w:val="000F2618"/>
    <w:rsid w:val="000F49C7"/>
    <w:rsid w:val="000F6351"/>
    <w:rsid w:val="000F64B8"/>
    <w:rsid w:val="000F65BE"/>
    <w:rsid w:val="000F66E3"/>
    <w:rsid w:val="000F67AF"/>
    <w:rsid w:val="0010017C"/>
    <w:rsid w:val="0010302F"/>
    <w:rsid w:val="00103700"/>
    <w:rsid w:val="001054BB"/>
    <w:rsid w:val="00111B5E"/>
    <w:rsid w:val="00113423"/>
    <w:rsid w:val="001145A7"/>
    <w:rsid w:val="00114B20"/>
    <w:rsid w:val="001159FC"/>
    <w:rsid w:val="00117CD8"/>
    <w:rsid w:val="00121D46"/>
    <w:rsid w:val="00125BD9"/>
    <w:rsid w:val="001305C5"/>
    <w:rsid w:val="001325F7"/>
    <w:rsid w:val="001342AD"/>
    <w:rsid w:val="00134C86"/>
    <w:rsid w:val="00137B56"/>
    <w:rsid w:val="00140C60"/>
    <w:rsid w:val="0014112E"/>
    <w:rsid w:val="00141924"/>
    <w:rsid w:val="00141987"/>
    <w:rsid w:val="00143480"/>
    <w:rsid w:val="00144F0B"/>
    <w:rsid w:val="00147440"/>
    <w:rsid w:val="0015047C"/>
    <w:rsid w:val="001565AE"/>
    <w:rsid w:val="00157F7D"/>
    <w:rsid w:val="00160502"/>
    <w:rsid w:val="00164EC3"/>
    <w:rsid w:val="001651A7"/>
    <w:rsid w:val="00165732"/>
    <w:rsid w:val="00166194"/>
    <w:rsid w:val="00167857"/>
    <w:rsid w:val="00172AD8"/>
    <w:rsid w:val="00173675"/>
    <w:rsid w:val="00180511"/>
    <w:rsid w:val="0018262E"/>
    <w:rsid w:val="00183AC2"/>
    <w:rsid w:val="001840D0"/>
    <w:rsid w:val="00184168"/>
    <w:rsid w:val="001842D9"/>
    <w:rsid w:val="0018592D"/>
    <w:rsid w:val="00185C49"/>
    <w:rsid w:val="00186A01"/>
    <w:rsid w:val="00187835"/>
    <w:rsid w:val="00187C39"/>
    <w:rsid w:val="001916EF"/>
    <w:rsid w:val="00193381"/>
    <w:rsid w:val="001942E1"/>
    <w:rsid w:val="0019575C"/>
    <w:rsid w:val="001A0EF4"/>
    <w:rsid w:val="001A3E5B"/>
    <w:rsid w:val="001A46FD"/>
    <w:rsid w:val="001A4904"/>
    <w:rsid w:val="001A5766"/>
    <w:rsid w:val="001A5A84"/>
    <w:rsid w:val="001A6DB0"/>
    <w:rsid w:val="001A6F22"/>
    <w:rsid w:val="001A7719"/>
    <w:rsid w:val="001B0E6C"/>
    <w:rsid w:val="001B6F71"/>
    <w:rsid w:val="001C3441"/>
    <w:rsid w:val="001C4414"/>
    <w:rsid w:val="001C7341"/>
    <w:rsid w:val="001C7B95"/>
    <w:rsid w:val="001D2078"/>
    <w:rsid w:val="001D3A4F"/>
    <w:rsid w:val="001D77B6"/>
    <w:rsid w:val="001E02CB"/>
    <w:rsid w:val="001E301A"/>
    <w:rsid w:val="001E30EB"/>
    <w:rsid w:val="001F2638"/>
    <w:rsid w:val="001F4961"/>
    <w:rsid w:val="001F628C"/>
    <w:rsid w:val="001F6724"/>
    <w:rsid w:val="0020013C"/>
    <w:rsid w:val="0020349C"/>
    <w:rsid w:val="002038F3"/>
    <w:rsid w:val="00204966"/>
    <w:rsid w:val="00205850"/>
    <w:rsid w:val="0021006E"/>
    <w:rsid w:val="00210788"/>
    <w:rsid w:val="00211ADC"/>
    <w:rsid w:val="00212C22"/>
    <w:rsid w:val="00214BD8"/>
    <w:rsid w:val="00215595"/>
    <w:rsid w:val="00215E18"/>
    <w:rsid w:val="00217158"/>
    <w:rsid w:val="00220E2D"/>
    <w:rsid w:val="00225E89"/>
    <w:rsid w:val="00225E8D"/>
    <w:rsid w:val="00226047"/>
    <w:rsid w:val="00226B71"/>
    <w:rsid w:val="00227707"/>
    <w:rsid w:val="0023283E"/>
    <w:rsid w:val="00232909"/>
    <w:rsid w:val="00233415"/>
    <w:rsid w:val="00233658"/>
    <w:rsid w:val="002379B9"/>
    <w:rsid w:val="00237A6D"/>
    <w:rsid w:val="002405F5"/>
    <w:rsid w:val="00242FD3"/>
    <w:rsid w:val="00246134"/>
    <w:rsid w:val="00246EC7"/>
    <w:rsid w:val="00251F83"/>
    <w:rsid w:val="00251FA6"/>
    <w:rsid w:val="00252B74"/>
    <w:rsid w:val="002536D1"/>
    <w:rsid w:val="00257554"/>
    <w:rsid w:val="00261AB1"/>
    <w:rsid w:val="002625AC"/>
    <w:rsid w:val="00262765"/>
    <w:rsid w:val="00264F4E"/>
    <w:rsid w:val="00270855"/>
    <w:rsid w:val="00270B9E"/>
    <w:rsid w:val="00276A4C"/>
    <w:rsid w:val="0027757C"/>
    <w:rsid w:val="00277CBC"/>
    <w:rsid w:val="00284E47"/>
    <w:rsid w:val="00285DFC"/>
    <w:rsid w:val="00287FCC"/>
    <w:rsid w:val="002971D4"/>
    <w:rsid w:val="002A3199"/>
    <w:rsid w:val="002A710A"/>
    <w:rsid w:val="002A7FD7"/>
    <w:rsid w:val="002B0E14"/>
    <w:rsid w:val="002B178B"/>
    <w:rsid w:val="002B21E4"/>
    <w:rsid w:val="002B45FE"/>
    <w:rsid w:val="002B529B"/>
    <w:rsid w:val="002B66FC"/>
    <w:rsid w:val="002B740C"/>
    <w:rsid w:val="002B7B61"/>
    <w:rsid w:val="002B7B85"/>
    <w:rsid w:val="002C1345"/>
    <w:rsid w:val="002C37FC"/>
    <w:rsid w:val="002C3930"/>
    <w:rsid w:val="002C3DA1"/>
    <w:rsid w:val="002C495C"/>
    <w:rsid w:val="002C4995"/>
    <w:rsid w:val="002C4CC3"/>
    <w:rsid w:val="002C5465"/>
    <w:rsid w:val="002C5A4A"/>
    <w:rsid w:val="002C68B0"/>
    <w:rsid w:val="002D4BCC"/>
    <w:rsid w:val="002D740A"/>
    <w:rsid w:val="002E3FF5"/>
    <w:rsid w:val="002E4480"/>
    <w:rsid w:val="002E7AF3"/>
    <w:rsid w:val="002E7D1C"/>
    <w:rsid w:val="002F0A2C"/>
    <w:rsid w:val="002F369D"/>
    <w:rsid w:val="002F3CAB"/>
    <w:rsid w:val="0030112A"/>
    <w:rsid w:val="003030E2"/>
    <w:rsid w:val="0030578D"/>
    <w:rsid w:val="003079C4"/>
    <w:rsid w:val="00307FA3"/>
    <w:rsid w:val="00310996"/>
    <w:rsid w:val="00312890"/>
    <w:rsid w:val="00315195"/>
    <w:rsid w:val="00316A04"/>
    <w:rsid w:val="00321033"/>
    <w:rsid w:val="00324E03"/>
    <w:rsid w:val="00326F5C"/>
    <w:rsid w:val="003278D3"/>
    <w:rsid w:val="00327BD4"/>
    <w:rsid w:val="00333E37"/>
    <w:rsid w:val="00334FF7"/>
    <w:rsid w:val="00341CCE"/>
    <w:rsid w:val="00346713"/>
    <w:rsid w:val="00350D00"/>
    <w:rsid w:val="00352685"/>
    <w:rsid w:val="00352693"/>
    <w:rsid w:val="00353FDB"/>
    <w:rsid w:val="003547B6"/>
    <w:rsid w:val="0035502E"/>
    <w:rsid w:val="00357AAA"/>
    <w:rsid w:val="00360B02"/>
    <w:rsid w:val="00361CC0"/>
    <w:rsid w:val="003650C7"/>
    <w:rsid w:val="00367D89"/>
    <w:rsid w:val="003713B5"/>
    <w:rsid w:val="00371FC9"/>
    <w:rsid w:val="0037345C"/>
    <w:rsid w:val="003750F5"/>
    <w:rsid w:val="00375E2E"/>
    <w:rsid w:val="003806AC"/>
    <w:rsid w:val="00380A2D"/>
    <w:rsid w:val="0038292B"/>
    <w:rsid w:val="00383E81"/>
    <w:rsid w:val="003863AA"/>
    <w:rsid w:val="003904E8"/>
    <w:rsid w:val="00391BB8"/>
    <w:rsid w:val="0039460B"/>
    <w:rsid w:val="0039523B"/>
    <w:rsid w:val="00396D66"/>
    <w:rsid w:val="00397EA8"/>
    <w:rsid w:val="003A1295"/>
    <w:rsid w:val="003A13AC"/>
    <w:rsid w:val="003A24DF"/>
    <w:rsid w:val="003A26C5"/>
    <w:rsid w:val="003A6644"/>
    <w:rsid w:val="003C0FA4"/>
    <w:rsid w:val="003C2173"/>
    <w:rsid w:val="003C2DEE"/>
    <w:rsid w:val="003C3117"/>
    <w:rsid w:val="003C50E1"/>
    <w:rsid w:val="003C7BC9"/>
    <w:rsid w:val="003C7E2A"/>
    <w:rsid w:val="003D1123"/>
    <w:rsid w:val="003D4D1A"/>
    <w:rsid w:val="003D6997"/>
    <w:rsid w:val="003E0A1A"/>
    <w:rsid w:val="003E5632"/>
    <w:rsid w:val="003E6164"/>
    <w:rsid w:val="003E7E7F"/>
    <w:rsid w:val="003F33B8"/>
    <w:rsid w:val="003F3687"/>
    <w:rsid w:val="003F3D6F"/>
    <w:rsid w:val="003F473A"/>
    <w:rsid w:val="003F660F"/>
    <w:rsid w:val="003F688B"/>
    <w:rsid w:val="00400B92"/>
    <w:rsid w:val="00402A91"/>
    <w:rsid w:val="0040315D"/>
    <w:rsid w:val="004032DB"/>
    <w:rsid w:val="0040406F"/>
    <w:rsid w:val="004215C3"/>
    <w:rsid w:val="00422734"/>
    <w:rsid w:val="00424902"/>
    <w:rsid w:val="00425430"/>
    <w:rsid w:val="004265D9"/>
    <w:rsid w:val="00431849"/>
    <w:rsid w:val="00432D65"/>
    <w:rsid w:val="00433320"/>
    <w:rsid w:val="00433BE6"/>
    <w:rsid w:val="0043479A"/>
    <w:rsid w:val="00434822"/>
    <w:rsid w:val="004349F2"/>
    <w:rsid w:val="00435F52"/>
    <w:rsid w:val="00436ED8"/>
    <w:rsid w:val="004374F2"/>
    <w:rsid w:val="00440957"/>
    <w:rsid w:val="00443AFF"/>
    <w:rsid w:val="004443D4"/>
    <w:rsid w:val="00444407"/>
    <w:rsid w:val="00444AE8"/>
    <w:rsid w:val="00444EC6"/>
    <w:rsid w:val="004518F6"/>
    <w:rsid w:val="00452891"/>
    <w:rsid w:val="004530E8"/>
    <w:rsid w:val="00453713"/>
    <w:rsid w:val="004541F2"/>
    <w:rsid w:val="00455891"/>
    <w:rsid w:val="00455E94"/>
    <w:rsid w:val="00457FC0"/>
    <w:rsid w:val="00463262"/>
    <w:rsid w:val="00464AAB"/>
    <w:rsid w:val="00467991"/>
    <w:rsid w:val="00467AF0"/>
    <w:rsid w:val="00473151"/>
    <w:rsid w:val="004743B4"/>
    <w:rsid w:val="0047636D"/>
    <w:rsid w:val="00476600"/>
    <w:rsid w:val="0048208F"/>
    <w:rsid w:val="004865C2"/>
    <w:rsid w:val="00487266"/>
    <w:rsid w:val="004930DC"/>
    <w:rsid w:val="00493624"/>
    <w:rsid w:val="00493EC4"/>
    <w:rsid w:val="00494ADA"/>
    <w:rsid w:val="00494C9C"/>
    <w:rsid w:val="00494ED4"/>
    <w:rsid w:val="00495A8B"/>
    <w:rsid w:val="00495ABE"/>
    <w:rsid w:val="00496093"/>
    <w:rsid w:val="004A0266"/>
    <w:rsid w:val="004A19AB"/>
    <w:rsid w:val="004A4620"/>
    <w:rsid w:val="004A67FB"/>
    <w:rsid w:val="004B75E0"/>
    <w:rsid w:val="004C066D"/>
    <w:rsid w:val="004C2A6B"/>
    <w:rsid w:val="004C3D02"/>
    <w:rsid w:val="004C7E54"/>
    <w:rsid w:val="004D1372"/>
    <w:rsid w:val="004D2475"/>
    <w:rsid w:val="004D791D"/>
    <w:rsid w:val="004E6474"/>
    <w:rsid w:val="004E7ADA"/>
    <w:rsid w:val="004F0B43"/>
    <w:rsid w:val="004F6E85"/>
    <w:rsid w:val="00505A13"/>
    <w:rsid w:val="0050645A"/>
    <w:rsid w:val="00507AAD"/>
    <w:rsid w:val="00511526"/>
    <w:rsid w:val="00516564"/>
    <w:rsid w:val="00520837"/>
    <w:rsid w:val="005213D1"/>
    <w:rsid w:val="0052175E"/>
    <w:rsid w:val="0052251B"/>
    <w:rsid w:val="00525369"/>
    <w:rsid w:val="00525599"/>
    <w:rsid w:val="005330F8"/>
    <w:rsid w:val="005340CA"/>
    <w:rsid w:val="00537080"/>
    <w:rsid w:val="00537357"/>
    <w:rsid w:val="0053799F"/>
    <w:rsid w:val="00544BDB"/>
    <w:rsid w:val="00545B90"/>
    <w:rsid w:val="005470D4"/>
    <w:rsid w:val="00551B27"/>
    <w:rsid w:val="00551EA6"/>
    <w:rsid w:val="00552833"/>
    <w:rsid w:val="00552923"/>
    <w:rsid w:val="00552B43"/>
    <w:rsid w:val="0055556D"/>
    <w:rsid w:val="00557C2D"/>
    <w:rsid w:val="00557FAF"/>
    <w:rsid w:val="0056111C"/>
    <w:rsid w:val="00564F6C"/>
    <w:rsid w:val="00565610"/>
    <w:rsid w:val="00573028"/>
    <w:rsid w:val="0057315F"/>
    <w:rsid w:val="005805CA"/>
    <w:rsid w:val="00581522"/>
    <w:rsid w:val="00582031"/>
    <w:rsid w:val="00582F79"/>
    <w:rsid w:val="00582FB2"/>
    <w:rsid w:val="0058552A"/>
    <w:rsid w:val="00586978"/>
    <w:rsid w:val="00590B12"/>
    <w:rsid w:val="005926C0"/>
    <w:rsid w:val="005967EF"/>
    <w:rsid w:val="005A32EB"/>
    <w:rsid w:val="005A4A9E"/>
    <w:rsid w:val="005A7147"/>
    <w:rsid w:val="005B0532"/>
    <w:rsid w:val="005B1A91"/>
    <w:rsid w:val="005B3BD1"/>
    <w:rsid w:val="005B462B"/>
    <w:rsid w:val="005B5116"/>
    <w:rsid w:val="005B6AC1"/>
    <w:rsid w:val="005B6E01"/>
    <w:rsid w:val="005B727D"/>
    <w:rsid w:val="005B76F6"/>
    <w:rsid w:val="005B7E69"/>
    <w:rsid w:val="005C3773"/>
    <w:rsid w:val="005C4CD8"/>
    <w:rsid w:val="005C4F0B"/>
    <w:rsid w:val="005C51B8"/>
    <w:rsid w:val="005C79B1"/>
    <w:rsid w:val="005C7E63"/>
    <w:rsid w:val="005D00A4"/>
    <w:rsid w:val="005D3D79"/>
    <w:rsid w:val="005D4463"/>
    <w:rsid w:val="005D452A"/>
    <w:rsid w:val="005D5789"/>
    <w:rsid w:val="005D5895"/>
    <w:rsid w:val="005D673A"/>
    <w:rsid w:val="005E2F8B"/>
    <w:rsid w:val="005E50B3"/>
    <w:rsid w:val="005E5F54"/>
    <w:rsid w:val="005E6855"/>
    <w:rsid w:val="005E724B"/>
    <w:rsid w:val="005F3C59"/>
    <w:rsid w:val="005F403E"/>
    <w:rsid w:val="005F4EAF"/>
    <w:rsid w:val="005F73B9"/>
    <w:rsid w:val="005F76C9"/>
    <w:rsid w:val="0060130A"/>
    <w:rsid w:val="00601423"/>
    <w:rsid w:val="00602756"/>
    <w:rsid w:val="0060490C"/>
    <w:rsid w:val="0060539B"/>
    <w:rsid w:val="00606619"/>
    <w:rsid w:val="00607D3F"/>
    <w:rsid w:val="00610E45"/>
    <w:rsid w:val="00611369"/>
    <w:rsid w:val="006115E0"/>
    <w:rsid w:val="00612CC3"/>
    <w:rsid w:val="00617F3B"/>
    <w:rsid w:val="00621AB4"/>
    <w:rsid w:val="00623F8C"/>
    <w:rsid w:val="00624E49"/>
    <w:rsid w:val="00626891"/>
    <w:rsid w:val="00626B17"/>
    <w:rsid w:val="006300FF"/>
    <w:rsid w:val="00632C9B"/>
    <w:rsid w:val="00633418"/>
    <w:rsid w:val="00637186"/>
    <w:rsid w:val="00641414"/>
    <w:rsid w:val="0064154C"/>
    <w:rsid w:val="006415C3"/>
    <w:rsid w:val="006416EC"/>
    <w:rsid w:val="00641BE9"/>
    <w:rsid w:val="00647567"/>
    <w:rsid w:val="006479D8"/>
    <w:rsid w:val="006539A8"/>
    <w:rsid w:val="006541A0"/>
    <w:rsid w:val="00655A75"/>
    <w:rsid w:val="00655D81"/>
    <w:rsid w:val="00656798"/>
    <w:rsid w:val="006638EF"/>
    <w:rsid w:val="00664B96"/>
    <w:rsid w:val="00667575"/>
    <w:rsid w:val="00667D9D"/>
    <w:rsid w:val="00673DEC"/>
    <w:rsid w:val="00674B0D"/>
    <w:rsid w:val="00674D24"/>
    <w:rsid w:val="00677C5A"/>
    <w:rsid w:val="00680EB9"/>
    <w:rsid w:val="00684F5B"/>
    <w:rsid w:val="00685D6C"/>
    <w:rsid w:val="0068618B"/>
    <w:rsid w:val="00686BB6"/>
    <w:rsid w:val="00687F2C"/>
    <w:rsid w:val="0069136C"/>
    <w:rsid w:val="00691C9B"/>
    <w:rsid w:val="006921D7"/>
    <w:rsid w:val="00693CF7"/>
    <w:rsid w:val="0069402C"/>
    <w:rsid w:val="006A1651"/>
    <w:rsid w:val="006A166D"/>
    <w:rsid w:val="006A5660"/>
    <w:rsid w:val="006A7E17"/>
    <w:rsid w:val="006B0431"/>
    <w:rsid w:val="006B0C79"/>
    <w:rsid w:val="006B101A"/>
    <w:rsid w:val="006B12BB"/>
    <w:rsid w:val="006B2184"/>
    <w:rsid w:val="006B308B"/>
    <w:rsid w:val="006B34F0"/>
    <w:rsid w:val="006B5917"/>
    <w:rsid w:val="006B608A"/>
    <w:rsid w:val="006C006F"/>
    <w:rsid w:val="006C0D2D"/>
    <w:rsid w:val="006C558E"/>
    <w:rsid w:val="006C629A"/>
    <w:rsid w:val="006D2F08"/>
    <w:rsid w:val="006D554D"/>
    <w:rsid w:val="006D5598"/>
    <w:rsid w:val="006D78E8"/>
    <w:rsid w:val="006D7919"/>
    <w:rsid w:val="006E1022"/>
    <w:rsid w:val="006E2CB3"/>
    <w:rsid w:val="006E3536"/>
    <w:rsid w:val="006E4006"/>
    <w:rsid w:val="006E7F3C"/>
    <w:rsid w:val="006F0A6F"/>
    <w:rsid w:val="006F24A7"/>
    <w:rsid w:val="006F2ECA"/>
    <w:rsid w:val="006F3E46"/>
    <w:rsid w:val="006F3FA2"/>
    <w:rsid w:val="006F551A"/>
    <w:rsid w:val="006F640B"/>
    <w:rsid w:val="006F66BB"/>
    <w:rsid w:val="00701F44"/>
    <w:rsid w:val="0070398D"/>
    <w:rsid w:val="0070407A"/>
    <w:rsid w:val="00705E22"/>
    <w:rsid w:val="007061B9"/>
    <w:rsid w:val="0070741A"/>
    <w:rsid w:val="00707600"/>
    <w:rsid w:val="00711881"/>
    <w:rsid w:val="00715E5D"/>
    <w:rsid w:val="007215FB"/>
    <w:rsid w:val="00722DDC"/>
    <w:rsid w:val="00726817"/>
    <w:rsid w:val="00730470"/>
    <w:rsid w:val="007329C0"/>
    <w:rsid w:val="00733FA1"/>
    <w:rsid w:val="007354BF"/>
    <w:rsid w:val="007362F2"/>
    <w:rsid w:val="00745555"/>
    <w:rsid w:val="00745DCF"/>
    <w:rsid w:val="0074631C"/>
    <w:rsid w:val="00750A4B"/>
    <w:rsid w:val="0075437B"/>
    <w:rsid w:val="007544DD"/>
    <w:rsid w:val="00754F21"/>
    <w:rsid w:val="0075602F"/>
    <w:rsid w:val="00756A70"/>
    <w:rsid w:val="007634E7"/>
    <w:rsid w:val="007652FC"/>
    <w:rsid w:val="00765C1B"/>
    <w:rsid w:val="00766F5C"/>
    <w:rsid w:val="00767D7B"/>
    <w:rsid w:val="0077029F"/>
    <w:rsid w:val="00771865"/>
    <w:rsid w:val="00771CAE"/>
    <w:rsid w:val="0077251F"/>
    <w:rsid w:val="007776C8"/>
    <w:rsid w:val="00780EE2"/>
    <w:rsid w:val="00780FD6"/>
    <w:rsid w:val="00781321"/>
    <w:rsid w:val="0078289F"/>
    <w:rsid w:val="00783280"/>
    <w:rsid w:val="00783D7C"/>
    <w:rsid w:val="00783E76"/>
    <w:rsid w:val="007873EC"/>
    <w:rsid w:val="00791706"/>
    <w:rsid w:val="00794ABE"/>
    <w:rsid w:val="007953A7"/>
    <w:rsid w:val="00796EB1"/>
    <w:rsid w:val="007A03A1"/>
    <w:rsid w:val="007A2BF8"/>
    <w:rsid w:val="007A3976"/>
    <w:rsid w:val="007A488C"/>
    <w:rsid w:val="007A53B8"/>
    <w:rsid w:val="007A7E27"/>
    <w:rsid w:val="007B03FC"/>
    <w:rsid w:val="007B09D6"/>
    <w:rsid w:val="007B4E3E"/>
    <w:rsid w:val="007B54A1"/>
    <w:rsid w:val="007B5B77"/>
    <w:rsid w:val="007C1918"/>
    <w:rsid w:val="007C40A0"/>
    <w:rsid w:val="007C4B55"/>
    <w:rsid w:val="007C5A21"/>
    <w:rsid w:val="007C62EE"/>
    <w:rsid w:val="007D3773"/>
    <w:rsid w:val="007D3FA5"/>
    <w:rsid w:val="007D41EE"/>
    <w:rsid w:val="007D4D0E"/>
    <w:rsid w:val="007D64C9"/>
    <w:rsid w:val="007D7BE1"/>
    <w:rsid w:val="007E1867"/>
    <w:rsid w:val="007E1FC7"/>
    <w:rsid w:val="007E304E"/>
    <w:rsid w:val="007E5FA3"/>
    <w:rsid w:val="007E6A6C"/>
    <w:rsid w:val="007F3125"/>
    <w:rsid w:val="007F3B8F"/>
    <w:rsid w:val="007F496F"/>
    <w:rsid w:val="007F4B21"/>
    <w:rsid w:val="007F5677"/>
    <w:rsid w:val="007F5937"/>
    <w:rsid w:val="007F765C"/>
    <w:rsid w:val="00801BCD"/>
    <w:rsid w:val="0080430F"/>
    <w:rsid w:val="0080672F"/>
    <w:rsid w:val="0081097E"/>
    <w:rsid w:val="00811DB3"/>
    <w:rsid w:val="008124F3"/>
    <w:rsid w:val="00813BC0"/>
    <w:rsid w:val="008203DE"/>
    <w:rsid w:val="00820FFF"/>
    <w:rsid w:val="00821C05"/>
    <w:rsid w:val="00822597"/>
    <w:rsid w:val="0082350C"/>
    <w:rsid w:val="00823A5D"/>
    <w:rsid w:val="008262F5"/>
    <w:rsid w:val="00826EDB"/>
    <w:rsid w:val="00830DC7"/>
    <w:rsid w:val="00831D38"/>
    <w:rsid w:val="00832A58"/>
    <w:rsid w:val="008336C5"/>
    <w:rsid w:val="00834636"/>
    <w:rsid w:val="00835FA6"/>
    <w:rsid w:val="00837E6C"/>
    <w:rsid w:val="00840E15"/>
    <w:rsid w:val="00843703"/>
    <w:rsid w:val="00845507"/>
    <w:rsid w:val="00846334"/>
    <w:rsid w:val="00851673"/>
    <w:rsid w:val="008531B5"/>
    <w:rsid w:val="00853794"/>
    <w:rsid w:val="00857193"/>
    <w:rsid w:val="008579CA"/>
    <w:rsid w:val="00857FEA"/>
    <w:rsid w:val="00860F32"/>
    <w:rsid w:val="0086602A"/>
    <w:rsid w:val="00870995"/>
    <w:rsid w:val="00872E92"/>
    <w:rsid w:val="0087352D"/>
    <w:rsid w:val="00873B24"/>
    <w:rsid w:val="008746AD"/>
    <w:rsid w:val="00875E9F"/>
    <w:rsid w:val="00883B2D"/>
    <w:rsid w:val="0088449D"/>
    <w:rsid w:val="00885ACF"/>
    <w:rsid w:val="00891666"/>
    <w:rsid w:val="00891C9D"/>
    <w:rsid w:val="00893488"/>
    <w:rsid w:val="00895A2F"/>
    <w:rsid w:val="008A0AB7"/>
    <w:rsid w:val="008A0EEB"/>
    <w:rsid w:val="008A214C"/>
    <w:rsid w:val="008A4BEF"/>
    <w:rsid w:val="008A55F3"/>
    <w:rsid w:val="008B1F01"/>
    <w:rsid w:val="008B2426"/>
    <w:rsid w:val="008B46D3"/>
    <w:rsid w:val="008B4C25"/>
    <w:rsid w:val="008B56AE"/>
    <w:rsid w:val="008B6D7D"/>
    <w:rsid w:val="008B7299"/>
    <w:rsid w:val="008C2124"/>
    <w:rsid w:val="008C2CDE"/>
    <w:rsid w:val="008C35A5"/>
    <w:rsid w:val="008C4EA7"/>
    <w:rsid w:val="008D0302"/>
    <w:rsid w:val="008D1084"/>
    <w:rsid w:val="008D125C"/>
    <w:rsid w:val="008D16AA"/>
    <w:rsid w:val="008D16B9"/>
    <w:rsid w:val="008D35EA"/>
    <w:rsid w:val="008D3F4A"/>
    <w:rsid w:val="008D46E7"/>
    <w:rsid w:val="008D619E"/>
    <w:rsid w:val="008E0479"/>
    <w:rsid w:val="008E10C3"/>
    <w:rsid w:val="008E2644"/>
    <w:rsid w:val="008E3702"/>
    <w:rsid w:val="008F0F89"/>
    <w:rsid w:val="008F3ADF"/>
    <w:rsid w:val="008F5B0F"/>
    <w:rsid w:val="009012E1"/>
    <w:rsid w:val="00901574"/>
    <w:rsid w:val="00901B1A"/>
    <w:rsid w:val="00901BC3"/>
    <w:rsid w:val="0090300E"/>
    <w:rsid w:val="00903160"/>
    <w:rsid w:val="00905614"/>
    <w:rsid w:val="0091008B"/>
    <w:rsid w:val="0091665D"/>
    <w:rsid w:val="009217DA"/>
    <w:rsid w:val="00922008"/>
    <w:rsid w:val="00923C85"/>
    <w:rsid w:val="009246CA"/>
    <w:rsid w:val="009250A3"/>
    <w:rsid w:val="00927AD8"/>
    <w:rsid w:val="00931B62"/>
    <w:rsid w:val="00931DD8"/>
    <w:rsid w:val="00934C95"/>
    <w:rsid w:val="00936FA6"/>
    <w:rsid w:val="00937213"/>
    <w:rsid w:val="0093748A"/>
    <w:rsid w:val="0094052D"/>
    <w:rsid w:val="00941124"/>
    <w:rsid w:val="009413E2"/>
    <w:rsid w:val="009416B0"/>
    <w:rsid w:val="00943BFE"/>
    <w:rsid w:val="009441E0"/>
    <w:rsid w:val="00944BB1"/>
    <w:rsid w:val="00950EA3"/>
    <w:rsid w:val="009510B4"/>
    <w:rsid w:val="0095452D"/>
    <w:rsid w:val="00955718"/>
    <w:rsid w:val="009557DC"/>
    <w:rsid w:val="00955C73"/>
    <w:rsid w:val="0096311D"/>
    <w:rsid w:val="0096395C"/>
    <w:rsid w:val="009648E1"/>
    <w:rsid w:val="009655B4"/>
    <w:rsid w:val="00967745"/>
    <w:rsid w:val="009703DB"/>
    <w:rsid w:val="00971C1F"/>
    <w:rsid w:val="00972C9D"/>
    <w:rsid w:val="0097393F"/>
    <w:rsid w:val="00980192"/>
    <w:rsid w:val="00981308"/>
    <w:rsid w:val="00984C37"/>
    <w:rsid w:val="00987FF2"/>
    <w:rsid w:val="00993959"/>
    <w:rsid w:val="0099663D"/>
    <w:rsid w:val="0099792E"/>
    <w:rsid w:val="009A28B4"/>
    <w:rsid w:val="009A2FDC"/>
    <w:rsid w:val="009A37AE"/>
    <w:rsid w:val="009A3A24"/>
    <w:rsid w:val="009A6DEE"/>
    <w:rsid w:val="009A7019"/>
    <w:rsid w:val="009B2F9B"/>
    <w:rsid w:val="009B3D0E"/>
    <w:rsid w:val="009B57DF"/>
    <w:rsid w:val="009C0D7D"/>
    <w:rsid w:val="009C4811"/>
    <w:rsid w:val="009D1081"/>
    <w:rsid w:val="009D3291"/>
    <w:rsid w:val="009D747E"/>
    <w:rsid w:val="009E077F"/>
    <w:rsid w:val="009E14B9"/>
    <w:rsid w:val="009E1C1F"/>
    <w:rsid w:val="009E3255"/>
    <w:rsid w:val="009E6053"/>
    <w:rsid w:val="009E7A36"/>
    <w:rsid w:val="009F1221"/>
    <w:rsid w:val="009F1C34"/>
    <w:rsid w:val="009F250A"/>
    <w:rsid w:val="009F339C"/>
    <w:rsid w:val="009F3659"/>
    <w:rsid w:val="009F51C8"/>
    <w:rsid w:val="009F5AAA"/>
    <w:rsid w:val="00A00FC9"/>
    <w:rsid w:val="00A028E6"/>
    <w:rsid w:val="00A03C82"/>
    <w:rsid w:val="00A052E7"/>
    <w:rsid w:val="00A10A16"/>
    <w:rsid w:val="00A114CC"/>
    <w:rsid w:val="00A13D02"/>
    <w:rsid w:val="00A144FB"/>
    <w:rsid w:val="00A16717"/>
    <w:rsid w:val="00A16DCD"/>
    <w:rsid w:val="00A173D0"/>
    <w:rsid w:val="00A22F09"/>
    <w:rsid w:val="00A23891"/>
    <w:rsid w:val="00A24BE3"/>
    <w:rsid w:val="00A24E93"/>
    <w:rsid w:val="00A2602E"/>
    <w:rsid w:val="00A33AC1"/>
    <w:rsid w:val="00A33D54"/>
    <w:rsid w:val="00A41263"/>
    <w:rsid w:val="00A42DDE"/>
    <w:rsid w:val="00A45A9C"/>
    <w:rsid w:val="00A45BB3"/>
    <w:rsid w:val="00A50D65"/>
    <w:rsid w:val="00A52901"/>
    <w:rsid w:val="00A53401"/>
    <w:rsid w:val="00A53883"/>
    <w:rsid w:val="00A56764"/>
    <w:rsid w:val="00A575D1"/>
    <w:rsid w:val="00A57F36"/>
    <w:rsid w:val="00A60F61"/>
    <w:rsid w:val="00A631F9"/>
    <w:rsid w:val="00A66C18"/>
    <w:rsid w:val="00A74249"/>
    <w:rsid w:val="00A7582B"/>
    <w:rsid w:val="00A75AC8"/>
    <w:rsid w:val="00A75E97"/>
    <w:rsid w:val="00A76C34"/>
    <w:rsid w:val="00A8569F"/>
    <w:rsid w:val="00A908CC"/>
    <w:rsid w:val="00A9587D"/>
    <w:rsid w:val="00A97CB7"/>
    <w:rsid w:val="00AA1568"/>
    <w:rsid w:val="00AA174C"/>
    <w:rsid w:val="00AA3BE1"/>
    <w:rsid w:val="00AB2AC6"/>
    <w:rsid w:val="00AB3ACB"/>
    <w:rsid w:val="00AB54BD"/>
    <w:rsid w:val="00AB7FDE"/>
    <w:rsid w:val="00AC26AD"/>
    <w:rsid w:val="00AC40D1"/>
    <w:rsid w:val="00AC4BF6"/>
    <w:rsid w:val="00AD109E"/>
    <w:rsid w:val="00AD11A0"/>
    <w:rsid w:val="00AD1750"/>
    <w:rsid w:val="00AD20C5"/>
    <w:rsid w:val="00AD2D2D"/>
    <w:rsid w:val="00AD439B"/>
    <w:rsid w:val="00AE1775"/>
    <w:rsid w:val="00AE212E"/>
    <w:rsid w:val="00AE2E93"/>
    <w:rsid w:val="00AE5447"/>
    <w:rsid w:val="00AE54C1"/>
    <w:rsid w:val="00AE668E"/>
    <w:rsid w:val="00AE7CA1"/>
    <w:rsid w:val="00AF132F"/>
    <w:rsid w:val="00AF1F30"/>
    <w:rsid w:val="00AF6560"/>
    <w:rsid w:val="00B012AC"/>
    <w:rsid w:val="00B03C1B"/>
    <w:rsid w:val="00B05AAC"/>
    <w:rsid w:val="00B13078"/>
    <w:rsid w:val="00B13EF2"/>
    <w:rsid w:val="00B174F5"/>
    <w:rsid w:val="00B20E8C"/>
    <w:rsid w:val="00B21DA3"/>
    <w:rsid w:val="00B23301"/>
    <w:rsid w:val="00B24E9F"/>
    <w:rsid w:val="00B25FAE"/>
    <w:rsid w:val="00B2610C"/>
    <w:rsid w:val="00B2619B"/>
    <w:rsid w:val="00B26817"/>
    <w:rsid w:val="00B30174"/>
    <w:rsid w:val="00B303F6"/>
    <w:rsid w:val="00B30A83"/>
    <w:rsid w:val="00B3182D"/>
    <w:rsid w:val="00B35FAD"/>
    <w:rsid w:val="00B36A04"/>
    <w:rsid w:val="00B37951"/>
    <w:rsid w:val="00B43E04"/>
    <w:rsid w:val="00B44E6E"/>
    <w:rsid w:val="00B45229"/>
    <w:rsid w:val="00B504AA"/>
    <w:rsid w:val="00B505FC"/>
    <w:rsid w:val="00B50F11"/>
    <w:rsid w:val="00B5114D"/>
    <w:rsid w:val="00B537D8"/>
    <w:rsid w:val="00B53B81"/>
    <w:rsid w:val="00B54EAB"/>
    <w:rsid w:val="00B60A50"/>
    <w:rsid w:val="00B61487"/>
    <w:rsid w:val="00B6329D"/>
    <w:rsid w:val="00B642F1"/>
    <w:rsid w:val="00B67038"/>
    <w:rsid w:val="00B67D01"/>
    <w:rsid w:val="00B71AF3"/>
    <w:rsid w:val="00B720E9"/>
    <w:rsid w:val="00B72AED"/>
    <w:rsid w:val="00B73B5D"/>
    <w:rsid w:val="00B7652D"/>
    <w:rsid w:val="00B804DB"/>
    <w:rsid w:val="00B8180F"/>
    <w:rsid w:val="00B82CEB"/>
    <w:rsid w:val="00B83B9B"/>
    <w:rsid w:val="00B863EC"/>
    <w:rsid w:val="00B90DE1"/>
    <w:rsid w:val="00B9117E"/>
    <w:rsid w:val="00B91A0A"/>
    <w:rsid w:val="00B92E4B"/>
    <w:rsid w:val="00B9351E"/>
    <w:rsid w:val="00B94843"/>
    <w:rsid w:val="00B95E85"/>
    <w:rsid w:val="00BA000C"/>
    <w:rsid w:val="00BA0080"/>
    <w:rsid w:val="00BA0204"/>
    <w:rsid w:val="00BA08D4"/>
    <w:rsid w:val="00BA186B"/>
    <w:rsid w:val="00BA2206"/>
    <w:rsid w:val="00BA2EC4"/>
    <w:rsid w:val="00BA3046"/>
    <w:rsid w:val="00BA320E"/>
    <w:rsid w:val="00BA32FC"/>
    <w:rsid w:val="00BA3589"/>
    <w:rsid w:val="00BA6B21"/>
    <w:rsid w:val="00BB7067"/>
    <w:rsid w:val="00BC0A44"/>
    <w:rsid w:val="00BC2186"/>
    <w:rsid w:val="00BC23E3"/>
    <w:rsid w:val="00BC42FB"/>
    <w:rsid w:val="00BC6733"/>
    <w:rsid w:val="00BD02D5"/>
    <w:rsid w:val="00BD0BE6"/>
    <w:rsid w:val="00BD2838"/>
    <w:rsid w:val="00BD3F71"/>
    <w:rsid w:val="00BD4217"/>
    <w:rsid w:val="00BD4779"/>
    <w:rsid w:val="00BD5D0A"/>
    <w:rsid w:val="00BD63AB"/>
    <w:rsid w:val="00BD707E"/>
    <w:rsid w:val="00BE528D"/>
    <w:rsid w:val="00BE7AC2"/>
    <w:rsid w:val="00BF1D11"/>
    <w:rsid w:val="00BF419A"/>
    <w:rsid w:val="00BF4F4F"/>
    <w:rsid w:val="00BF59E6"/>
    <w:rsid w:val="00C00129"/>
    <w:rsid w:val="00C001A9"/>
    <w:rsid w:val="00C01644"/>
    <w:rsid w:val="00C028F7"/>
    <w:rsid w:val="00C05564"/>
    <w:rsid w:val="00C06962"/>
    <w:rsid w:val="00C06E54"/>
    <w:rsid w:val="00C100B0"/>
    <w:rsid w:val="00C1066D"/>
    <w:rsid w:val="00C13CF5"/>
    <w:rsid w:val="00C13F5A"/>
    <w:rsid w:val="00C16857"/>
    <w:rsid w:val="00C21FB9"/>
    <w:rsid w:val="00C25D8C"/>
    <w:rsid w:val="00C26311"/>
    <w:rsid w:val="00C27004"/>
    <w:rsid w:val="00C3113B"/>
    <w:rsid w:val="00C322F3"/>
    <w:rsid w:val="00C410E9"/>
    <w:rsid w:val="00C41789"/>
    <w:rsid w:val="00C434C6"/>
    <w:rsid w:val="00C466B7"/>
    <w:rsid w:val="00C50E00"/>
    <w:rsid w:val="00C52B10"/>
    <w:rsid w:val="00C53B9C"/>
    <w:rsid w:val="00C62B86"/>
    <w:rsid w:val="00C6344A"/>
    <w:rsid w:val="00C64AF7"/>
    <w:rsid w:val="00C66330"/>
    <w:rsid w:val="00C703D1"/>
    <w:rsid w:val="00C73B56"/>
    <w:rsid w:val="00C75D2B"/>
    <w:rsid w:val="00C772DE"/>
    <w:rsid w:val="00C83324"/>
    <w:rsid w:val="00C85D8F"/>
    <w:rsid w:val="00C868BC"/>
    <w:rsid w:val="00C92748"/>
    <w:rsid w:val="00C936F5"/>
    <w:rsid w:val="00C9615F"/>
    <w:rsid w:val="00C966FC"/>
    <w:rsid w:val="00C96771"/>
    <w:rsid w:val="00CA4E85"/>
    <w:rsid w:val="00CA70DD"/>
    <w:rsid w:val="00CA7158"/>
    <w:rsid w:val="00CB0755"/>
    <w:rsid w:val="00CB0ECC"/>
    <w:rsid w:val="00CB4A48"/>
    <w:rsid w:val="00CB5837"/>
    <w:rsid w:val="00CB6694"/>
    <w:rsid w:val="00CB6B0C"/>
    <w:rsid w:val="00CC4AC5"/>
    <w:rsid w:val="00CC6E6B"/>
    <w:rsid w:val="00CD3331"/>
    <w:rsid w:val="00CD3FEA"/>
    <w:rsid w:val="00CD4EEE"/>
    <w:rsid w:val="00CE0BA7"/>
    <w:rsid w:val="00CE21A8"/>
    <w:rsid w:val="00CE223E"/>
    <w:rsid w:val="00CE7977"/>
    <w:rsid w:val="00CF0457"/>
    <w:rsid w:val="00CF0908"/>
    <w:rsid w:val="00CF0BC8"/>
    <w:rsid w:val="00CF5BD2"/>
    <w:rsid w:val="00D00EE5"/>
    <w:rsid w:val="00D01C1D"/>
    <w:rsid w:val="00D034F7"/>
    <w:rsid w:val="00D03E98"/>
    <w:rsid w:val="00D11700"/>
    <w:rsid w:val="00D12C06"/>
    <w:rsid w:val="00D14DD0"/>
    <w:rsid w:val="00D15F3F"/>
    <w:rsid w:val="00D20D91"/>
    <w:rsid w:val="00D24F04"/>
    <w:rsid w:val="00D27A38"/>
    <w:rsid w:val="00D27CCC"/>
    <w:rsid w:val="00D30A50"/>
    <w:rsid w:val="00D319FC"/>
    <w:rsid w:val="00D332AC"/>
    <w:rsid w:val="00D33703"/>
    <w:rsid w:val="00D36E15"/>
    <w:rsid w:val="00D412FA"/>
    <w:rsid w:val="00D472DD"/>
    <w:rsid w:val="00D5242C"/>
    <w:rsid w:val="00D547F4"/>
    <w:rsid w:val="00D56F02"/>
    <w:rsid w:val="00D6561A"/>
    <w:rsid w:val="00D70FEA"/>
    <w:rsid w:val="00D712B3"/>
    <w:rsid w:val="00D721A5"/>
    <w:rsid w:val="00D7387E"/>
    <w:rsid w:val="00D7597E"/>
    <w:rsid w:val="00D81303"/>
    <w:rsid w:val="00D827FB"/>
    <w:rsid w:val="00D9150F"/>
    <w:rsid w:val="00D93D2F"/>
    <w:rsid w:val="00D94569"/>
    <w:rsid w:val="00D9560B"/>
    <w:rsid w:val="00DA3BAA"/>
    <w:rsid w:val="00DB079F"/>
    <w:rsid w:val="00DB19C2"/>
    <w:rsid w:val="00DB501E"/>
    <w:rsid w:val="00DB7066"/>
    <w:rsid w:val="00DB7B49"/>
    <w:rsid w:val="00DC04C9"/>
    <w:rsid w:val="00DC5DA2"/>
    <w:rsid w:val="00DD34C5"/>
    <w:rsid w:val="00DD351E"/>
    <w:rsid w:val="00DD3974"/>
    <w:rsid w:val="00DD3FD2"/>
    <w:rsid w:val="00DD460C"/>
    <w:rsid w:val="00DD604B"/>
    <w:rsid w:val="00DE011B"/>
    <w:rsid w:val="00DE1867"/>
    <w:rsid w:val="00DE18B1"/>
    <w:rsid w:val="00DE19A7"/>
    <w:rsid w:val="00DE2857"/>
    <w:rsid w:val="00DE3909"/>
    <w:rsid w:val="00DE4D67"/>
    <w:rsid w:val="00DF0A0E"/>
    <w:rsid w:val="00DF2A18"/>
    <w:rsid w:val="00DF30AD"/>
    <w:rsid w:val="00DF46B8"/>
    <w:rsid w:val="00DF5C0E"/>
    <w:rsid w:val="00DF6006"/>
    <w:rsid w:val="00E00908"/>
    <w:rsid w:val="00E00CF0"/>
    <w:rsid w:val="00E00DDB"/>
    <w:rsid w:val="00E05783"/>
    <w:rsid w:val="00E05A53"/>
    <w:rsid w:val="00E068A7"/>
    <w:rsid w:val="00E06903"/>
    <w:rsid w:val="00E1040F"/>
    <w:rsid w:val="00E11D12"/>
    <w:rsid w:val="00E12391"/>
    <w:rsid w:val="00E149B0"/>
    <w:rsid w:val="00E1621F"/>
    <w:rsid w:val="00E20C2E"/>
    <w:rsid w:val="00E216A0"/>
    <w:rsid w:val="00E21C7D"/>
    <w:rsid w:val="00E24289"/>
    <w:rsid w:val="00E25DCF"/>
    <w:rsid w:val="00E25F61"/>
    <w:rsid w:val="00E26731"/>
    <w:rsid w:val="00E302B9"/>
    <w:rsid w:val="00E3073F"/>
    <w:rsid w:val="00E32B33"/>
    <w:rsid w:val="00E35175"/>
    <w:rsid w:val="00E4328A"/>
    <w:rsid w:val="00E439A8"/>
    <w:rsid w:val="00E43AA9"/>
    <w:rsid w:val="00E43B81"/>
    <w:rsid w:val="00E4458C"/>
    <w:rsid w:val="00E44CF7"/>
    <w:rsid w:val="00E44D92"/>
    <w:rsid w:val="00E4656E"/>
    <w:rsid w:val="00E54193"/>
    <w:rsid w:val="00E54B9C"/>
    <w:rsid w:val="00E56C31"/>
    <w:rsid w:val="00E60732"/>
    <w:rsid w:val="00E62D78"/>
    <w:rsid w:val="00E758E7"/>
    <w:rsid w:val="00E77491"/>
    <w:rsid w:val="00E80DF9"/>
    <w:rsid w:val="00E8471B"/>
    <w:rsid w:val="00E926B7"/>
    <w:rsid w:val="00E948A3"/>
    <w:rsid w:val="00E97DB3"/>
    <w:rsid w:val="00EA0B91"/>
    <w:rsid w:val="00EA3080"/>
    <w:rsid w:val="00EA46D8"/>
    <w:rsid w:val="00EB1D08"/>
    <w:rsid w:val="00EB3262"/>
    <w:rsid w:val="00EB34CB"/>
    <w:rsid w:val="00EB5819"/>
    <w:rsid w:val="00EB6E54"/>
    <w:rsid w:val="00EC192D"/>
    <w:rsid w:val="00EC27E0"/>
    <w:rsid w:val="00EC2D2A"/>
    <w:rsid w:val="00EC39F7"/>
    <w:rsid w:val="00EC532E"/>
    <w:rsid w:val="00EC5496"/>
    <w:rsid w:val="00EC6869"/>
    <w:rsid w:val="00EC7BC2"/>
    <w:rsid w:val="00ED06E4"/>
    <w:rsid w:val="00ED2DFE"/>
    <w:rsid w:val="00ED34BA"/>
    <w:rsid w:val="00ED3E94"/>
    <w:rsid w:val="00ED4CB0"/>
    <w:rsid w:val="00ED5B1C"/>
    <w:rsid w:val="00ED6BBC"/>
    <w:rsid w:val="00EE5D2F"/>
    <w:rsid w:val="00EF126A"/>
    <w:rsid w:val="00EF3E33"/>
    <w:rsid w:val="00F01473"/>
    <w:rsid w:val="00F03225"/>
    <w:rsid w:val="00F03278"/>
    <w:rsid w:val="00F0363A"/>
    <w:rsid w:val="00F046BC"/>
    <w:rsid w:val="00F1192B"/>
    <w:rsid w:val="00F11E7A"/>
    <w:rsid w:val="00F14854"/>
    <w:rsid w:val="00F166C2"/>
    <w:rsid w:val="00F169B3"/>
    <w:rsid w:val="00F2184A"/>
    <w:rsid w:val="00F21FB0"/>
    <w:rsid w:val="00F23CDA"/>
    <w:rsid w:val="00F24CEC"/>
    <w:rsid w:val="00F24FFF"/>
    <w:rsid w:val="00F25BCE"/>
    <w:rsid w:val="00F27474"/>
    <w:rsid w:val="00F30053"/>
    <w:rsid w:val="00F333C6"/>
    <w:rsid w:val="00F362C3"/>
    <w:rsid w:val="00F400D6"/>
    <w:rsid w:val="00F40FAD"/>
    <w:rsid w:val="00F420D8"/>
    <w:rsid w:val="00F427A3"/>
    <w:rsid w:val="00F43D01"/>
    <w:rsid w:val="00F43D46"/>
    <w:rsid w:val="00F43FBE"/>
    <w:rsid w:val="00F458EB"/>
    <w:rsid w:val="00F45AD8"/>
    <w:rsid w:val="00F51784"/>
    <w:rsid w:val="00F523CD"/>
    <w:rsid w:val="00F532AF"/>
    <w:rsid w:val="00F54296"/>
    <w:rsid w:val="00F603ED"/>
    <w:rsid w:val="00F63C49"/>
    <w:rsid w:val="00F6526F"/>
    <w:rsid w:val="00F66242"/>
    <w:rsid w:val="00F70852"/>
    <w:rsid w:val="00F80355"/>
    <w:rsid w:val="00F83DCD"/>
    <w:rsid w:val="00F843CF"/>
    <w:rsid w:val="00F84DB8"/>
    <w:rsid w:val="00F909CC"/>
    <w:rsid w:val="00F922FC"/>
    <w:rsid w:val="00F935C6"/>
    <w:rsid w:val="00F941D9"/>
    <w:rsid w:val="00F94702"/>
    <w:rsid w:val="00F9660D"/>
    <w:rsid w:val="00F96729"/>
    <w:rsid w:val="00FA28DD"/>
    <w:rsid w:val="00FA2B01"/>
    <w:rsid w:val="00FA71EF"/>
    <w:rsid w:val="00FB064E"/>
    <w:rsid w:val="00FB0D7F"/>
    <w:rsid w:val="00FB1CB6"/>
    <w:rsid w:val="00FB2AC2"/>
    <w:rsid w:val="00FB2AE7"/>
    <w:rsid w:val="00FB4018"/>
    <w:rsid w:val="00FB475F"/>
    <w:rsid w:val="00FB56A5"/>
    <w:rsid w:val="00FB748A"/>
    <w:rsid w:val="00FC0417"/>
    <w:rsid w:val="00FC39C2"/>
    <w:rsid w:val="00FC39F0"/>
    <w:rsid w:val="00FC75DB"/>
    <w:rsid w:val="00FC7E42"/>
    <w:rsid w:val="00FD0272"/>
    <w:rsid w:val="00FD3214"/>
    <w:rsid w:val="00FD34B1"/>
    <w:rsid w:val="00FD3E37"/>
    <w:rsid w:val="00FD5018"/>
    <w:rsid w:val="00FD57AB"/>
    <w:rsid w:val="00FD6705"/>
    <w:rsid w:val="00FD74ED"/>
    <w:rsid w:val="00FE39C7"/>
    <w:rsid w:val="00FE4CB7"/>
    <w:rsid w:val="00FE58CF"/>
    <w:rsid w:val="00FE6E7F"/>
    <w:rsid w:val="00FE7679"/>
    <w:rsid w:val="00FE7C73"/>
    <w:rsid w:val="00FF204C"/>
    <w:rsid w:val="00FF4608"/>
    <w:rsid w:val="00FF484E"/>
    <w:rsid w:val="00FF5080"/>
    <w:rsid w:val="029167E5"/>
    <w:rsid w:val="03BA2131"/>
    <w:rsid w:val="0624009C"/>
    <w:rsid w:val="073C7668"/>
    <w:rsid w:val="07F35494"/>
    <w:rsid w:val="085B774C"/>
    <w:rsid w:val="08B915CA"/>
    <w:rsid w:val="08E21B49"/>
    <w:rsid w:val="09331ABF"/>
    <w:rsid w:val="094445B2"/>
    <w:rsid w:val="0A862689"/>
    <w:rsid w:val="0ADC27FC"/>
    <w:rsid w:val="0BAA09FA"/>
    <w:rsid w:val="0C313C59"/>
    <w:rsid w:val="0D576E17"/>
    <w:rsid w:val="0DDA1988"/>
    <w:rsid w:val="0F7D437D"/>
    <w:rsid w:val="0FD85A54"/>
    <w:rsid w:val="1001144E"/>
    <w:rsid w:val="106875CB"/>
    <w:rsid w:val="132A0CBC"/>
    <w:rsid w:val="14373B56"/>
    <w:rsid w:val="1628082C"/>
    <w:rsid w:val="163976E4"/>
    <w:rsid w:val="16AA0078"/>
    <w:rsid w:val="16EF1057"/>
    <w:rsid w:val="17A40318"/>
    <w:rsid w:val="17D01213"/>
    <w:rsid w:val="1880614A"/>
    <w:rsid w:val="18895BA5"/>
    <w:rsid w:val="194837C2"/>
    <w:rsid w:val="197310D0"/>
    <w:rsid w:val="19BD0D56"/>
    <w:rsid w:val="1ACD119D"/>
    <w:rsid w:val="1B3C333B"/>
    <w:rsid w:val="1CB4189C"/>
    <w:rsid w:val="1DFC41B1"/>
    <w:rsid w:val="1E9E7183"/>
    <w:rsid w:val="1ECF44C6"/>
    <w:rsid w:val="1F3A5DE3"/>
    <w:rsid w:val="1FA07A57"/>
    <w:rsid w:val="20EB5CF5"/>
    <w:rsid w:val="254259F1"/>
    <w:rsid w:val="2BC817F9"/>
    <w:rsid w:val="2C9265D5"/>
    <w:rsid w:val="2C943ACA"/>
    <w:rsid w:val="2F561217"/>
    <w:rsid w:val="2FD23E16"/>
    <w:rsid w:val="308A70A0"/>
    <w:rsid w:val="33277DE4"/>
    <w:rsid w:val="33D644EA"/>
    <w:rsid w:val="3466391C"/>
    <w:rsid w:val="3492592C"/>
    <w:rsid w:val="350259B6"/>
    <w:rsid w:val="35527ED3"/>
    <w:rsid w:val="3AFB2473"/>
    <w:rsid w:val="3B000022"/>
    <w:rsid w:val="3B4E2A47"/>
    <w:rsid w:val="3B830B89"/>
    <w:rsid w:val="3EE37DED"/>
    <w:rsid w:val="3FED7B60"/>
    <w:rsid w:val="42CE66BF"/>
    <w:rsid w:val="42EB68B6"/>
    <w:rsid w:val="44663053"/>
    <w:rsid w:val="457479F1"/>
    <w:rsid w:val="458B0897"/>
    <w:rsid w:val="45C269AF"/>
    <w:rsid w:val="4621272F"/>
    <w:rsid w:val="475062F3"/>
    <w:rsid w:val="47605A10"/>
    <w:rsid w:val="47CA38F8"/>
    <w:rsid w:val="48EB7FCA"/>
    <w:rsid w:val="4A507745"/>
    <w:rsid w:val="4A527BD5"/>
    <w:rsid w:val="4B117A90"/>
    <w:rsid w:val="4DD76336"/>
    <w:rsid w:val="50067238"/>
    <w:rsid w:val="502025E6"/>
    <w:rsid w:val="50A11FE0"/>
    <w:rsid w:val="50D92DFE"/>
    <w:rsid w:val="51B95FB0"/>
    <w:rsid w:val="5245699D"/>
    <w:rsid w:val="52B6036C"/>
    <w:rsid w:val="534D53DE"/>
    <w:rsid w:val="55005F26"/>
    <w:rsid w:val="57847330"/>
    <w:rsid w:val="5A4566FD"/>
    <w:rsid w:val="5C34538D"/>
    <w:rsid w:val="5E3308A2"/>
    <w:rsid w:val="5F93686E"/>
    <w:rsid w:val="6223037D"/>
    <w:rsid w:val="636C7AB1"/>
    <w:rsid w:val="643028DD"/>
    <w:rsid w:val="64A038CF"/>
    <w:rsid w:val="6530704D"/>
    <w:rsid w:val="6A5C442C"/>
    <w:rsid w:val="6A845F5F"/>
    <w:rsid w:val="6B6A0DCB"/>
    <w:rsid w:val="6D5A003F"/>
    <w:rsid w:val="6E3A4A84"/>
    <w:rsid w:val="6E931F60"/>
    <w:rsid w:val="70F76C5D"/>
    <w:rsid w:val="710D6547"/>
    <w:rsid w:val="71B648C4"/>
    <w:rsid w:val="723F4C6C"/>
    <w:rsid w:val="743005A4"/>
    <w:rsid w:val="75695C4F"/>
    <w:rsid w:val="761262E7"/>
    <w:rsid w:val="76602F0E"/>
    <w:rsid w:val="76B86E8E"/>
    <w:rsid w:val="77F51A1C"/>
    <w:rsid w:val="781060F3"/>
    <w:rsid w:val="7AC022E5"/>
    <w:rsid w:val="7B892BA7"/>
    <w:rsid w:val="7C291AB3"/>
    <w:rsid w:val="7C4F3DF1"/>
    <w:rsid w:val="7FA75CF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0"/>
    <w:qFormat/>
    <w:uiPriority w:val="0"/>
    <w:pPr>
      <w:widowControl/>
      <w:spacing w:before="100" w:beforeAutospacing="1" w:after="100" w:afterAutospacing="1" w:line="240" w:lineRule="auto"/>
      <w:jc w:val="left"/>
      <w:outlineLvl w:val="2"/>
    </w:pPr>
    <w:rPr>
      <w:rFonts w:ascii="宋体" w:hAnsi="宋体" w:eastAsia="宋体" w:cs="宋体"/>
      <w:b/>
      <w:bCs/>
      <w:kern w:val="0"/>
      <w:sz w:val="27"/>
      <w:szCs w:val="27"/>
    </w:rPr>
  </w:style>
  <w:style w:type="paragraph" w:styleId="3">
    <w:name w:val="heading 4"/>
    <w:basedOn w:val="1"/>
    <w:next w:val="1"/>
    <w:link w:val="25"/>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qFormat/>
    <w:uiPriority w:val="0"/>
    <w:pPr>
      <w:spacing w:line="600" w:lineRule="exact"/>
      <w:ind w:firstLine="630"/>
    </w:pPr>
    <w:rPr>
      <w:rFonts w:ascii="Times New Roman" w:hAnsi="Times New Roman" w:eastAsia="仿宋_GB2312" w:cs="Times New Roman"/>
      <w:sz w:val="32"/>
    </w:rPr>
  </w:style>
  <w:style w:type="paragraph" w:styleId="5">
    <w:name w:val="footer"/>
    <w:basedOn w:val="1"/>
    <w:link w:val="15"/>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Title"/>
    <w:basedOn w:val="1"/>
    <w:next w:val="4"/>
    <w:qFormat/>
    <w:uiPriority w:val="0"/>
    <w:pPr>
      <w:spacing w:before="240" w:after="60"/>
      <w:jc w:val="center"/>
      <w:outlineLvl w:val="0"/>
    </w:pPr>
    <w:rPr>
      <w:rFonts w:ascii="Arial" w:hAnsi="Arial" w:eastAsia="宋体" w:cs="Times New Roman"/>
      <w:b/>
      <w:sz w:val="32"/>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Hyperlink"/>
    <w:basedOn w:val="12"/>
    <w:qFormat/>
    <w:uiPriority w:val="0"/>
    <w:rPr>
      <w:color w:val="0000FF"/>
      <w:u w:val="single"/>
    </w:rPr>
  </w:style>
  <w:style w:type="character" w:customStyle="1" w:styleId="14">
    <w:name w:val="页眉 字符"/>
    <w:basedOn w:val="12"/>
    <w:link w:val="6"/>
    <w:qFormat/>
    <w:uiPriority w:val="99"/>
    <w:rPr>
      <w:sz w:val="18"/>
      <w:szCs w:val="18"/>
    </w:rPr>
  </w:style>
  <w:style w:type="character" w:customStyle="1" w:styleId="15">
    <w:name w:val="页脚 字符"/>
    <w:basedOn w:val="12"/>
    <w:link w:val="5"/>
    <w:qFormat/>
    <w:uiPriority w:val="99"/>
    <w:rPr>
      <w:sz w:val="18"/>
      <w:szCs w:val="18"/>
    </w:rPr>
  </w:style>
  <w:style w:type="paragraph" w:customStyle="1" w:styleId="1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7">
    <w:name w:val="HTML 预设格式 字符"/>
    <w:basedOn w:val="12"/>
    <w:link w:val="7"/>
    <w:qFormat/>
    <w:uiPriority w:val="0"/>
    <w:rPr>
      <w:rFonts w:ascii="宋体" w:hAnsi="宋体" w:eastAsia="宋体" w:cs="宋体"/>
      <w:kern w:val="0"/>
      <w:sz w:val="24"/>
      <w:szCs w:val="24"/>
    </w:rPr>
  </w:style>
  <w:style w:type="paragraph" w:styleId="18">
    <w:name w:val="List Paragraph"/>
    <w:basedOn w:val="1"/>
    <w:qFormat/>
    <w:uiPriority w:val="34"/>
    <w:pPr>
      <w:spacing w:line="240" w:lineRule="auto"/>
      <w:ind w:firstLine="420" w:firstLineChars="200"/>
    </w:pPr>
    <w:rPr>
      <w:rFonts w:ascii="Times New Roman" w:hAnsi="Times New Roman" w:eastAsia="宋体" w:cs="Times New Roman"/>
      <w:szCs w:val="24"/>
    </w:rPr>
  </w:style>
  <w:style w:type="paragraph" w:customStyle="1" w:styleId="19">
    <w:name w:val="列出段落1"/>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0">
    <w:name w:val="标题 3 字符"/>
    <w:basedOn w:val="12"/>
    <w:link w:val="2"/>
    <w:qFormat/>
    <w:uiPriority w:val="0"/>
    <w:rPr>
      <w:rFonts w:ascii="宋体" w:hAnsi="宋体" w:eastAsia="宋体" w:cs="宋体"/>
      <w:b/>
      <w:bCs/>
      <w:kern w:val="0"/>
      <w:sz w:val="27"/>
      <w:szCs w:val="27"/>
    </w:rPr>
  </w:style>
  <w:style w:type="paragraph" w:customStyle="1" w:styleId="21">
    <w:name w:val="列出段落2"/>
    <w:basedOn w:val="1"/>
    <w:qFormat/>
    <w:uiPriority w:val="0"/>
    <w:pPr>
      <w:spacing w:line="240" w:lineRule="auto"/>
      <w:ind w:firstLine="420" w:firstLineChars="200"/>
    </w:pPr>
    <w:rPr>
      <w:rFonts w:ascii="Times New Roman" w:hAnsi="Times New Roman" w:eastAsia="宋体" w:cs="Times New Roman"/>
      <w:szCs w:val="24"/>
    </w:rPr>
  </w:style>
  <w:style w:type="paragraph" w:customStyle="1" w:styleId="22">
    <w:name w:val="列出段落3"/>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3">
    <w:name w:val="detail-field type-label"/>
    <w:basedOn w:val="12"/>
    <w:qFormat/>
    <w:uiPriority w:val="0"/>
  </w:style>
  <w:style w:type="paragraph" w:customStyle="1" w:styleId="24">
    <w:name w:val="列出段落4"/>
    <w:basedOn w:val="1"/>
    <w:qFormat/>
    <w:uiPriority w:val="0"/>
    <w:pPr>
      <w:spacing w:line="240" w:lineRule="auto"/>
      <w:ind w:firstLine="420" w:firstLineChars="200"/>
    </w:pPr>
    <w:rPr>
      <w:rFonts w:ascii="Times New Roman" w:hAnsi="Times New Roman" w:eastAsia="宋体" w:cs="Times New Roman"/>
      <w:szCs w:val="24"/>
    </w:rPr>
  </w:style>
  <w:style w:type="character" w:customStyle="1" w:styleId="25">
    <w:name w:val="标题 4 字符"/>
    <w:basedOn w:val="12"/>
    <w:link w:val="3"/>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3018</Words>
  <Characters>3075</Characters>
  <Lines>1</Lines>
  <Paragraphs>1</Paragraphs>
  <TotalTime>9</TotalTime>
  <ScaleCrop>false</ScaleCrop>
  <LinksUpToDate>false</LinksUpToDate>
  <CharactersWithSpaces>3087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2019-10-23T02:46:00Z</dcterms:created>
  <dc:creator>中科软</dc:creator>
  <cp:lastModifiedBy>Alex Spieler</cp:lastModifiedBy>
  <cp:lastPrinted>2024-09-23T02:30:00Z</cp:lastPrinted>
  <dcterms:modified xsi:type="dcterms:W3CDTF">2026-05-19T01:35:03Z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FF02ADEC6CF04F5E8FD4B8BC8D1A6F56_12</vt:lpwstr>
  </property>
  <property fmtid="{D5CDD505-2E9C-101B-9397-08002B2CF9AE}" pid="4" name="KSOTemplateDocerSaveRecord">
    <vt:lpwstr>eyJoZGlkIjoiOGVhNTdjNDY1MGIzOTM4NDZjY2RiY2VjMjQ5NjUzNzIiLCJ1c2VySWQiOiIzMDY4NDg1MTAifQ==</vt:lpwstr>
  </property>
</Properties>
</file>