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90AED">
      <w:pPr>
        <w:spacing w:line="240" w:lineRule="auto"/>
        <w:jc w:val="center"/>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rPr>
        <w:t>苏州市环境信访</w:t>
      </w:r>
      <w:r>
        <w:rPr>
          <w:rFonts w:hint="eastAsia" w:ascii="方正小标宋简体" w:hAnsi="方正小标宋简体" w:eastAsia="方正小标宋简体" w:cs="方正小标宋简体"/>
          <w:b w:val="0"/>
          <w:bCs/>
          <w:kern w:val="0"/>
          <w:sz w:val="44"/>
          <w:szCs w:val="44"/>
          <w:lang w:eastAsia="zh-CN"/>
        </w:rPr>
        <w:t>举报</w:t>
      </w:r>
      <w:r>
        <w:rPr>
          <w:rFonts w:hint="eastAsia" w:ascii="方正小标宋简体" w:hAnsi="方正小标宋简体" w:eastAsia="方正小标宋简体" w:cs="方正小标宋简体"/>
          <w:b w:val="0"/>
          <w:bCs/>
          <w:kern w:val="0"/>
          <w:sz w:val="44"/>
          <w:szCs w:val="44"/>
        </w:rPr>
        <w:t>情况信息公开（202</w:t>
      </w:r>
      <w:r>
        <w:rPr>
          <w:rFonts w:hint="eastAsia" w:ascii="方正小标宋简体" w:hAnsi="方正小标宋简体" w:eastAsia="方正小标宋简体" w:cs="方正小标宋简体"/>
          <w:b w:val="0"/>
          <w:bCs/>
          <w:kern w:val="0"/>
          <w:sz w:val="44"/>
          <w:szCs w:val="44"/>
          <w:lang w:val="en-US" w:eastAsia="zh-CN"/>
        </w:rPr>
        <w:t>6</w:t>
      </w:r>
      <w:r>
        <w:rPr>
          <w:rFonts w:hint="eastAsia" w:ascii="方正小标宋简体" w:hAnsi="方正小标宋简体" w:eastAsia="方正小标宋简体" w:cs="方正小标宋简体"/>
          <w:b w:val="0"/>
          <w:bCs/>
          <w:kern w:val="0"/>
          <w:sz w:val="44"/>
          <w:szCs w:val="44"/>
        </w:rPr>
        <w:t>年</w:t>
      </w:r>
      <w:r>
        <w:rPr>
          <w:rFonts w:hint="eastAsia" w:ascii="方正小标宋简体" w:hAnsi="方正小标宋简体" w:eastAsia="方正小标宋简体" w:cs="方正小标宋简体"/>
          <w:b w:val="0"/>
          <w:bCs/>
          <w:kern w:val="0"/>
          <w:sz w:val="44"/>
          <w:szCs w:val="44"/>
          <w:lang w:val="en-US" w:eastAsia="zh-CN"/>
        </w:rPr>
        <w:t>8</w:t>
      </w:r>
      <w:r>
        <w:rPr>
          <w:rFonts w:hint="eastAsia" w:ascii="方正小标宋简体" w:hAnsi="方正小标宋简体" w:eastAsia="方正小标宋简体" w:cs="方正小标宋简体"/>
          <w:b w:val="0"/>
          <w:bCs/>
          <w:kern w:val="0"/>
          <w:sz w:val="44"/>
          <w:szCs w:val="44"/>
        </w:rPr>
        <w:t>月）</w:t>
      </w:r>
    </w:p>
    <w:p w14:paraId="2AA19BED">
      <w:pPr>
        <w:spacing w:line="240" w:lineRule="auto"/>
        <w:ind w:firstLine="640" w:firstLineChars="200"/>
        <w:jc w:val="both"/>
        <w:rPr>
          <w:rFonts w:hint="eastAsia" w:ascii="Times New Roman" w:eastAsia="仿宋_GB2312"/>
          <w:sz w:val="32"/>
          <w:szCs w:val="32"/>
          <w:lang w:val="en-US" w:eastAsia="zh-CN"/>
        </w:rPr>
      </w:pPr>
      <w:r>
        <w:rPr>
          <w:rFonts w:hint="eastAsia" w:ascii="Times New Roman" w:eastAsia="仿宋_GB2312"/>
          <w:sz w:val="32"/>
          <w:szCs w:val="32"/>
          <w:lang w:val="en-US" w:eastAsia="zh-CN"/>
        </w:rPr>
        <w:t>2026年8</w:t>
      </w:r>
      <w:r>
        <w:rPr>
          <w:rFonts w:hint="eastAsia" w:ascii="Times New Roman" w:eastAsia="仿宋_GB2312"/>
          <w:sz w:val="32"/>
          <w:szCs w:val="32"/>
        </w:rPr>
        <w:t>月，</w:t>
      </w:r>
      <w:r>
        <w:rPr>
          <w:rFonts w:hint="eastAsia" w:ascii="Times New Roman" w:eastAsia="仿宋_GB2312"/>
          <w:sz w:val="32"/>
          <w:szCs w:val="32"/>
          <w:lang w:eastAsia="zh-CN"/>
        </w:rPr>
        <w:t>全市生态环境部门</w:t>
      </w:r>
      <w:r>
        <w:rPr>
          <w:rFonts w:hint="eastAsia" w:ascii="Times New Roman" w:eastAsia="仿宋_GB2312"/>
          <w:sz w:val="32"/>
          <w:szCs w:val="32"/>
        </w:rPr>
        <w:t>共受理各级环境信访举</w:t>
      </w:r>
      <w:r>
        <w:rPr>
          <w:rFonts w:hint="eastAsia" w:ascii="Times New Roman" w:eastAsia="仿宋_GB2312"/>
          <w:sz w:val="32"/>
          <w:szCs w:val="32"/>
          <w:lang w:val="en-US" w:eastAsia="zh-CN"/>
        </w:rPr>
        <w:t>报</w:t>
      </w:r>
      <w:r>
        <w:rPr>
          <w:rFonts w:hint="default" w:ascii="Times New Roman" w:hAnsi="Times New Roman" w:eastAsia="仿宋_GB2312" w:cs="Times New Roman"/>
          <w:color w:val="auto"/>
          <w:kern w:val="2"/>
          <w:sz w:val="32"/>
          <w:szCs w:val="32"/>
          <w:lang w:val="en-US" w:eastAsia="zh-CN"/>
        </w:rPr>
        <w:t>497</w:t>
      </w:r>
      <w:r>
        <w:rPr>
          <w:rFonts w:hint="default" w:ascii="Times New Roman" w:hAnsi="Times New Roman" w:eastAsia="仿宋_GB2312" w:cs="Times New Roman"/>
          <w:color w:val="auto"/>
          <w:kern w:val="2"/>
          <w:sz w:val="32"/>
          <w:szCs w:val="32"/>
        </w:rPr>
        <w:t>件，同比</w:t>
      </w:r>
      <w:r>
        <w:rPr>
          <w:rFonts w:hint="default" w:ascii="Times New Roman" w:hAnsi="Times New Roman" w:eastAsia="仿宋_GB2312" w:cs="Times New Roman"/>
          <w:color w:val="auto"/>
          <w:kern w:val="2"/>
          <w:sz w:val="32"/>
          <w:szCs w:val="32"/>
          <w:lang w:eastAsia="zh-CN"/>
        </w:rPr>
        <w:t>上升</w:t>
      </w:r>
      <w:r>
        <w:rPr>
          <w:rFonts w:hint="default" w:ascii="Times New Roman" w:hAnsi="Times New Roman" w:eastAsia="仿宋_GB2312" w:cs="Times New Roman"/>
          <w:color w:val="auto"/>
          <w:kern w:val="2"/>
          <w:sz w:val="32"/>
          <w:szCs w:val="32"/>
          <w:lang w:val="en-US" w:eastAsia="zh-CN"/>
        </w:rPr>
        <w:t>6.4</w:t>
      </w:r>
      <w:r>
        <w:rPr>
          <w:rFonts w:hint="default" w:ascii="Times New Roman" w:hAnsi="Times New Roman" w:eastAsia="仿宋_GB2312" w:cs="Times New Roman"/>
          <w:color w:val="auto"/>
          <w:kern w:val="2"/>
          <w:sz w:val="32"/>
          <w:szCs w:val="32"/>
        </w:rPr>
        <w:t>%</w:t>
      </w:r>
      <w:r>
        <w:rPr>
          <w:rFonts w:hint="eastAsia" w:ascii="Times New Roman" w:eastAsia="仿宋_GB2312"/>
          <w:sz w:val="32"/>
          <w:szCs w:val="32"/>
          <w:lang w:val="en-US" w:eastAsia="zh-CN"/>
        </w:rPr>
        <w:t>。</w:t>
      </w:r>
    </w:p>
    <w:tbl>
      <w:tblPr>
        <w:tblStyle w:val="11"/>
        <w:tblW w:w="1322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31"/>
        <w:gridCol w:w="1066"/>
        <w:gridCol w:w="2976"/>
        <w:gridCol w:w="6875"/>
        <w:gridCol w:w="1773"/>
      </w:tblGrid>
      <w:tr w14:paraId="180FEF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1" w:type="dxa"/>
            <w:shd w:val="clear" w:color="auto" w:fill="auto"/>
            <w:vAlign w:val="center"/>
          </w:tcPr>
          <w:p w14:paraId="0887B451">
            <w:pPr>
              <w:spacing w:line="240" w:lineRule="auto"/>
              <w:jc w:val="center"/>
              <w:rPr>
                <w:rFonts w:hint="eastAsia" w:ascii="黑体" w:hAnsi="黑体" w:eastAsia="黑体"/>
                <w:sz w:val="24"/>
                <w:szCs w:val="24"/>
              </w:rPr>
            </w:pPr>
            <w:r>
              <w:rPr>
                <w:rFonts w:hint="eastAsia" w:ascii="黑体" w:hAnsi="黑体" w:eastAsia="黑体"/>
                <w:sz w:val="24"/>
                <w:szCs w:val="24"/>
              </w:rPr>
              <w:t>序号</w:t>
            </w:r>
          </w:p>
        </w:tc>
        <w:tc>
          <w:tcPr>
            <w:tcW w:w="1066" w:type="dxa"/>
            <w:shd w:val="clear" w:color="auto" w:fill="auto"/>
            <w:vAlign w:val="center"/>
          </w:tcPr>
          <w:p w14:paraId="591D36DB">
            <w:pPr>
              <w:spacing w:line="240" w:lineRule="auto"/>
              <w:jc w:val="center"/>
              <w:rPr>
                <w:rFonts w:hint="eastAsia" w:ascii="黑体" w:hAnsi="黑体" w:eastAsia="黑体"/>
                <w:sz w:val="24"/>
                <w:szCs w:val="24"/>
              </w:rPr>
            </w:pPr>
            <w:r>
              <w:rPr>
                <w:rFonts w:hint="eastAsia" w:ascii="黑体" w:hAnsi="黑体" w:eastAsia="黑体"/>
                <w:sz w:val="24"/>
                <w:szCs w:val="24"/>
              </w:rPr>
              <w:t>地区</w:t>
            </w:r>
          </w:p>
        </w:tc>
        <w:tc>
          <w:tcPr>
            <w:tcW w:w="2976" w:type="dxa"/>
            <w:shd w:val="clear" w:color="auto" w:fill="auto"/>
            <w:vAlign w:val="center"/>
          </w:tcPr>
          <w:p w14:paraId="50CE4893">
            <w:pPr>
              <w:spacing w:line="240" w:lineRule="auto"/>
              <w:jc w:val="center"/>
              <w:rPr>
                <w:rFonts w:hint="eastAsia" w:ascii="黑体" w:hAnsi="黑体" w:eastAsia="黑体"/>
                <w:sz w:val="24"/>
                <w:szCs w:val="24"/>
              </w:rPr>
            </w:pPr>
            <w:r>
              <w:rPr>
                <w:rFonts w:hint="eastAsia" w:ascii="黑体" w:hAnsi="黑体" w:eastAsia="黑体"/>
                <w:sz w:val="24"/>
                <w:szCs w:val="24"/>
              </w:rPr>
              <w:t>群众投诉问题</w:t>
            </w:r>
          </w:p>
        </w:tc>
        <w:tc>
          <w:tcPr>
            <w:tcW w:w="6875" w:type="dxa"/>
            <w:shd w:val="clear" w:color="auto" w:fill="auto"/>
            <w:vAlign w:val="center"/>
          </w:tcPr>
          <w:p w14:paraId="14C30127">
            <w:pPr>
              <w:spacing w:line="240" w:lineRule="auto"/>
              <w:jc w:val="center"/>
              <w:rPr>
                <w:rFonts w:hint="eastAsia" w:ascii="黑体" w:hAnsi="黑体" w:eastAsia="黑体"/>
                <w:sz w:val="24"/>
                <w:szCs w:val="24"/>
              </w:rPr>
            </w:pPr>
            <w:r>
              <w:rPr>
                <w:rFonts w:hint="eastAsia" w:ascii="黑体" w:hAnsi="黑体" w:eastAsia="黑体"/>
                <w:sz w:val="24"/>
                <w:szCs w:val="24"/>
              </w:rPr>
              <w:t>处理情况</w:t>
            </w:r>
          </w:p>
        </w:tc>
        <w:tc>
          <w:tcPr>
            <w:tcW w:w="1773" w:type="dxa"/>
            <w:vAlign w:val="center"/>
          </w:tcPr>
          <w:p w14:paraId="7232B2DE">
            <w:pPr>
              <w:spacing w:line="240" w:lineRule="auto"/>
              <w:jc w:val="center"/>
              <w:rPr>
                <w:rFonts w:hint="eastAsia" w:ascii="黑体" w:hAnsi="黑体" w:eastAsia="黑体"/>
                <w:sz w:val="24"/>
                <w:szCs w:val="24"/>
              </w:rPr>
            </w:pPr>
            <w:r>
              <w:rPr>
                <w:rFonts w:hint="eastAsia" w:ascii="黑体" w:hAnsi="黑体" w:eastAsia="黑体"/>
                <w:sz w:val="24"/>
                <w:szCs w:val="24"/>
              </w:rPr>
              <w:t>备注</w:t>
            </w:r>
          </w:p>
        </w:tc>
      </w:tr>
      <w:tr w14:paraId="72D63E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01" w:hRule="atLeast"/>
        </w:trPr>
        <w:tc>
          <w:tcPr>
            <w:tcW w:w="531" w:type="dxa"/>
            <w:shd w:val="clear" w:color="auto" w:fill="auto"/>
            <w:vAlign w:val="center"/>
          </w:tcPr>
          <w:p w14:paraId="3656E85D">
            <w:pPr>
              <w:spacing w:line="240" w:lineRule="auto"/>
              <w:jc w:val="center"/>
              <w:rPr>
                <w:rFonts w:hint="eastAsia" w:ascii="宋体" w:hAnsi="宋体" w:eastAsia="宋体"/>
                <w:szCs w:val="21"/>
              </w:rPr>
            </w:pPr>
            <w:r>
              <w:rPr>
                <w:rFonts w:hint="eastAsia" w:ascii="宋体" w:hAnsi="宋体" w:eastAsia="宋体"/>
                <w:szCs w:val="21"/>
              </w:rPr>
              <w:t>1</w:t>
            </w:r>
          </w:p>
        </w:tc>
        <w:tc>
          <w:tcPr>
            <w:tcW w:w="1066" w:type="dxa"/>
            <w:shd w:val="clear" w:color="auto" w:fill="auto"/>
            <w:vAlign w:val="center"/>
          </w:tcPr>
          <w:p w14:paraId="3F1D03EA">
            <w:pPr>
              <w:spacing w:line="240" w:lineRule="auto"/>
              <w:jc w:val="center"/>
              <w:rPr>
                <w:rFonts w:hint="eastAsia" w:ascii="宋体" w:hAnsi="宋体" w:eastAsia="宋体"/>
                <w:szCs w:val="21"/>
                <w:lang w:eastAsia="zh-CN"/>
              </w:rPr>
            </w:pPr>
            <w:r>
              <w:rPr>
                <w:rFonts w:hint="eastAsia" w:ascii="宋体" w:hAnsi="宋体" w:eastAsia="宋体"/>
                <w:szCs w:val="21"/>
              </w:rPr>
              <w:t>张家港</w:t>
            </w:r>
            <w:r>
              <w:rPr>
                <w:rFonts w:hint="eastAsia" w:ascii="宋体" w:hAnsi="宋体" w:eastAsia="宋体"/>
                <w:szCs w:val="21"/>
                <w:lang w:eastAsia="zh-CN"/>
              </w:rPr>
              <w:t>市</w:t>
            </w:r>
          </w:p>
        </w:tc>
        <w:tc>
          <w:tcPr>
            <w:tcW w:w="2976" w:type="dxa"/>
            <w:shd w:val="clear" w:color="auto" w:fill="auto"/>
            <w:vAlign w:val="center"/>
          </w:tcPr>
          <w:p w14:paraId="539D0480">
            <w:pPr>
              <w:spacing w:line="240" w:lineRule="auto"/>
              <w:rPr>
                <w:rFonts w:hint="eastAsia" w:ascii="宋体" w:hAnsi="宋体" w:eastAsia="宋体"/>
                <w:szCs w:val="21"/>
                <w:lang w:val="en-US" w:eastAsia="zh-CN"/>
              </w:rPr>
            </w:pPr>
            <w:r>
              <w:rPr>
                <w:rFonts w:hint="eastAsia" w:ascii="宋体" w:hAnsi="宋体" w:eastAsia="宋体"/>
                <w:szCs w:val="21"/>
              </w:rPr>
              <w:t>张家港市新塍路新塍小学西侧约40米厂房内进行喷漆作业时门都敞开着，异味扰民</w:t>
            </w:r>
            <w:r>
              <w:rPr>
                <w:rFonts w:hint="eastAsia" w:ascii="宋体" w:hAnsi="宋体" w:eastAsia="宋体"/>
                <w:szCs w:val="21"/>
                <w:lang w:eastAsia="zh-CN"/>
              </w:rPr>
              <w:t>，</w:t>
            </w:r>
            <w:r>
              <w:rPr>
                <w:rFonts w:hint="eastAsia" w:ascii="宋体" w:hAnsi="宋体" w:eastAsia="宋体"/>
                <w:szCs w:val="21"/>
                <w:lang w:val="en-US" w:eastAsia="zh-CN"/>
              </w:rPr>
              <w:t>希望</w:t>
            </w:r>
            <w:r>
              <w:rPr>
                <w:rFonts w:hint="eastAsia" w:ascii="宋体" w:hAnsi="宋体" w:eastAsia="宋体"/>
                <w:szCs w:val="21"/>
              </w:rPr>
              <w:t>督促厂区进行喷漆作业时将门关闭。</w:t>
            </w:r>
          </w:p>
        </w:tc>
        <w:tc>
          <w:tcPr>
            <w:tcW w:w="6875" w:type="dxa"/>
            <w:shd w:val="clear" w:color="auto" w:fill="auto"/>
            <w:vAlign w:val="center"/>
          </w:tcPr>
          <w:p w14:paraId="378940FB">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经查，该厂房内企业为一古轩(苏州)古建筑工程有限公司，确有违规喷漆问题，张家港生态环境局已责令该企业停止喷漆作业并立案调查，后续将按照法定程序处理。</w:t>
            </w:r>
          </w:p>
        </w:tc>
        <w:tc>
          <w:tcPr>
            <w:tcW w:w="1773" w:type="dxa"/>
            <w:vAlign w:val="center"/>
          </w:tcPr>
          <w:p w14:paraId="3E463333">
            <w:pPr>
              <w:adjustRightInd w:val="0"/>
              <w:spacing w:line="240" w:lineRule="auto"/>
              <w:rPr>
                <w:rFonts w:ascii="Times New Roman" w:hAnsi="Times New Roman" w:cs="Times New Roman" w:eastAsiaTheme="majorEastAsia"/>
                <w:szCs w:val="21"/>
              </w:rPr>
            </w:pPr>
          </w:p>
        </w:tc>
      </w:tr>
      <w:tr w14:paraId="043386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53" w:hRule="atLeast"/>
        </w:trPr>
        <w:tc>
          <w:tcPr>
            <w:tcW w:w="531" w:type="dxa"/>
            <w:shd w:val="clear" w:color="auto" w:fill="auto"/>
            <w:vAlign w:val="center"/>
          </w:tcPr>
          <w:p w14:paraId="45BC2F6A">
            <w:pPr>
              <w:spacing w:line="240" w:lineRule="auto"/>
              <w:jc w:val="center"/>
              <w:rPr>
                <w:rFonts w:hint="eastAsia" w:ascii="宋体" w:hAnsi="宋体" w:eastAsia="宋体"/>
                <w:szCs w:val="21"/>
                <w:lang w:val="en-US" w:eastAsia="zh-CN"/>
              </w:rPr>
            </w:pPr>
            <w:r>
              <w:rPr>
                <w:rFonts w:hint="eastAsia" w:ascii="宋体" w:hAnsi="宋体" w:eastAsia="宋体"/>
                <w:szCs w:val="21"/>
                <w:lang w:val="en-US" w:eastAsia="zh-CN"/>
              </w:rPr>
              <w:t>2</w:t>
            </w:r>
          </w:p>
        </w:tc>
        <w:tc>
          <w:tcPr>
            <w:tcW w:w="1066" w:type="dxa"/>
            <w:shd w:val="clear" w:color="auto" w:fill="auto"/>
            <w:vAlign w:val="center"/>
          </w:tcPr>
          <w:p w14:paraId="150F06C5">
            <w:pPr>
              <w:spacing w:line="240" w:lineRule="auto"/>
              <w:jc w:val="center"/>
              <w:rPr>
                <w:rFonts w:hint="eastAsia" w:ascii="宋体" w:hAnsi="宋体" w:eastAsia="宋体"/>
                <w:szCs w:val="21"/>
                <w:lang w:eastAsia="zh-CN"/>
              </w:rPr>
            </w:pPr>
            <w:r>
              <w:rPr>
                <w:rFonts w:hint="eastAsia" w:ascii="宋体" w:hAnsi="宋体" w:eastAsia="宋体"/>
                <w:szCs w:val="21"/>
                <w:lang w:eastAsia="zh-CN"/>
              </w:rPr>
              <w:t>常熟市</w:t>
            </w:r>
          </w:p>
        </w:tc>
        <w:tc>
          <w:tcPr>
            <w:tcW w:w="2976" w:type="dxa"/>
            <w:shd w:val="clear" w:color="auto" w:fill="auto"/>
            <w:vAlign w:val="center"/>
          </w:tcPr>
          <w:p w14:paraId="67700DF4">
            <w:pPr>
              <w:spacing w:line="240" w:lineRule="auto"/>
              <w:rPr>
                <w:rFonts w:hint="eastAsia" w:ascii="宋体" w:hAnsi="宋体" w:eastAsia="宋体"/>
                <w:szCs w:val="21"/>
                <w:lang w:val="en-US" w:eastAsia="zh-CN"/>
              </w:rPr>
            </w:pPr>
            <w:r>
              <w:rPr>
                <w:rFonts w:hint="eastAsia" w:ascii="宋体" w:hAnsi="宋体" w:eastAsia="宋体"/>
                <w:szCs w:val="21"/>
              </w:rPr>
              <w:t>常熟市承禹环境科技有限公司违规处置危废，请依法查处。</w:t>
            </w:r>
          </w:p>
        </w:tc>
        <w:tc>
          <w:tcPr>
            <w:tcW w:w="6875" w:type="dxa"/>
            <w:shd w:val="clear" w:color="auto" w:fill="auto"/>
            <w:vAlign w:val="center"/>
          </w:tcPr>
          <w:p w14:paraId="6BE608C6">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rPr>
              <w:t>2026年7月31日、8月7日，</w:t>
            </w:r>
            <w:r>
              <w:rPr>
                <w:rFonts w:hint="eastAsia" w:ascii="宋体" w:hAnsi="宋体" w:eastAsia="宋体"/>
                <w:szCs w:val="21"/>
                <w:lang w:eastAsia="zh-CN"/>
              </w:rPr>
              <w:t>常熟生态环境局</w:t>
            </w:r>
            <w:r>
              <w:rPr>
                <w:rFonts w:hint="eastAsia" w:ascii="宋体" w:hAnsi="宋体" w:eastAsia="宋体"/>
                <w:szCs w:val="21"/>
              </w:rPr>
              <w:t>对常熟市承禹环境科技有限公司进行了现场检查。该公司危险废物核准经营范围为：处置、利用HW34废酸61000吨/年（限普碳钢加工、酸洗和硫酸酸蚀废酸，其中313-001-34、900-300-34废盐酸45000吨/年，313-001-34、900-300-34、900-302-34废硫酸16000吨/年），该公司具备处置、利用相应废酸的资质。该公司危险废物经营许可证附件中废盐酸处置工艺为：废酸→预处理→脱重→压滤→氧化/聚合→聚合氯化铁溶液，其中脱重工艺为使用脱重剂在脱重釜中螯合去除废酸中的重金属，残渣压滤后作为次生危险废物委托有资质单位处置；现场脱重工艺与许可证附件要求一致。根据《工业废盐酸的处理处置规范》（GB/T 32125-2021），该公司设置有入厂废盐酸控制指标，其中锌≤3%。该公司编制的环境风险评价报告中对聚合氯化铁产品中锌含量进行控制，明确限值为≤0.05%（500mg/kg）。该公司与常熟风范电力设备股份有限公司签订有危险废物委托处置合同，为其处置废盐酸（代码：900-300-34），截止2026年7月底，共接收常熟风范电力设备股份有限公司的废盐酸2421.84吨。执法人员调阅上述废盐酸的入厂分析单，锌含量均符合入厂废盐酸控制指标要求；调阅聚合氯化铁产品化验单，其中锌含量符合≤0.05%的限值要求。该公司脱重剂有相应的购买发票和使用记录，2026年1-7月脱重剂使用量为1.69吨；产生的废渣规范贮存于危废仓库内。2026年4月，</w:t>
            </w:r>
            <w:r>
              <w:rPr>
                <w:rFonts w:hint="eastAsia" w:ascii="宋体" w:hAnsi="宋体" w:eastAsia="宋体"/>
                <w:szCs w:val="21"/>
                <w:lang w:eastAsia="zh-CN"/>
              </w:rPr>
              <w:t>常熟生态环境局</w:t>
            </w:r>
            <w:r>
              <w:rPr>
                <w:rFonts w:hint="eastAsia" w:ascii="宋体" w:hAnsi="宋体" w:eastAsia="宋体"/>
                <w:szCs w:val="21"/>
              </w:rPr>
              <w:t>已委托江苏中洲检测技术有限公司对该公司废酸储罐内的废盐酸、聚合氯化铁储罐内的聚合氯化铁溶液、常熟风范电力设备股份有限公司的废酸进行了采样分析，根据检测公司出具的检测报告（编号：SCDT/C26040814），上述三个样品中的锌含量均符合相关标准要求。2026年8月7日，执法人员对该公司的废盐酸、聚合氯化铁进行采样，并委托苏州市华测检测技术有限公司进行检测，根据检测公司出具的检测报告（编号：A2240212923481C），上述样品中的锌含量均符合相关标准要求。根据现场检查情况，</w:t>
            </w:r>
            <w:r>
              <w:rPr>
                <w:rFonts w:hint="eastAsia" w:ascii="宋体" w:hAnsi="宋体" w:eastAsia="宋体"/>
                <w:szCs w:val="21"/>
                <w:lang w:eastAsia="zh-CN"/>
              </w:rPr>
              <w:t>常熟生态环境局</w:t>
            </w:r>
            <w:r>
              <w:rPr>
                <w:rFonts w:hint="eastAsia" w:ascii="宋体" w:hAnsi="宋体" w:eastAsia="宋体"/>
                <w:szCs w:val="21"/>
              </w:rPr>
              <w:t>要求常熟市承禹环境科技有限公司在危险废物经营活动中严格按照危险废物经营许可条件要求开展生产。</w:t>
            </w:r>
          </w:p>
        </w:tc>
        <w:tc>
          <w:tcPr>
            <w:tcW w:w="1773" w:type="dxa"/>
            <w:vAlign w:val="center"/>
          </w:tcPr>
          <w:p w14:paraId="3385E13E">
            <w:pPr>
              <w:adjustRightInd w:val="0"/>
              <w:spacing w:line="240" w:lineRule="auto"/>
              <w:rPr>
                <w:rFonts w:ascii="Times New Roman" w:hAnsi="Times New Roman" w:cs="Times New Roman" w:eastAsiaTheme="majorEastAsia"/>
                <w:szCs w:val="21"/>
              </w:rPr>
            </w:pPr>
          </w:p>
        </w:tc>
      </w:tr>
      <w:tr w14:paraId="72EDB8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58" w:hRule="atLeast"/>
        </w:trPr>
        <w:tc>
          <w:tcPr>
            <w:tcW w:w="531" w:type="dxa"/>
            <w:shd w:val="clear" w:color="auto" w:fill="auto"/>
            <w:vAlign w:val="center"/>
          </w:tcPr>
          <w:p w14:paraId="62B3B57D">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3</w:t>
            </w:r>
          </w:p>
        </w:tc>
        <w:tc>
          <w:tcPr>
            <w:tcW w:w="1066" w:type="dxa"/>
            <w:shd w:val="clear" w:color="auto" w:fill="auto"/>
            <w:vAlign w:val="center"/>
          </w:tcPr>
          <w:p w14:paraId="7E6B1670">
            <w:pPr>
              <w:spacing w:line="240" w:lineRule="auto"/>
              <w:jc w:val="center"/>
              <w:rPr>
                <w:rFonts w:hint="eastAsia" w:ascii="宋体" w:hAnsi="宋体" w:eastAsia="宋体"/>
                <w:szCs w:val="21"/>
                <w:lang w:eastAsia="zh-CN"/>
              </w:rPr>
            </w:pPr>
            <w:r>
              <w:rPr>
                <w:rFonts w:hint="eastAsia" w:ascii="宋体" w:hAnsi="宋体" w:eastAsia="宋体"/>
                <w:szCs w:val="21"/>
                <w:lang w:eastAsia="zh-CN"/>
              </w:rPr>
              <w:t>太仓市</w:t>
            </w:r>
          </w:p>
        </w:tc>
        <w:tc>
          <w:tcPr>
            <w:tcW w:w="2976" w:type="dxa"/>
            <w:shd w:val="clear" w:color="auto" w:fill="auto"/>
            <w:vAlign w:val="center"/>
          </w:tcPr>
          <w:p w14:paraId="0349AEB8">
            <w:pPr>
              <w:spacing w:line="240" w:lineRule="auto"/>
              <w:rPr>
                <w:rFonts w:hint="eastAsia" w:ascii="宋体" w:hAnsi="宋体" w:eastAsia="宋体"/>
                <w:szCs w:val="21"/>
                <w:lang w:val="en-US" w:eastAsia="zh-CN"/>
              </w:rPr>
            </w:pPr>
            <w:r>
              <w:rPr>
                <w:rFonts w:hint="eastAsia" w:ascii="宋体" w:hAnsi="宋体" w:eastAsia="宋体"/>
                <w:szCs w:val="21"/>
              </w:rPr>
              <w:t>郑和中路165号太仓桂盟链条(太仓)有限公司污水偷排</w:t>
            </w:r>
          </w:p>
        </w:tc>
        <w:tc>
          <w:tcPr>
            <w:tcW w:w="6875" w:type="dxa"/>
            <w:shd w:val="clear" w:color="auto" w:fill="auto"/>
            <w:vAlign w:val="center"/>
          </w:tcPr>
          <w:p w14:paraId="557A8320">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rPr>
              <w:t>经查实，该公司有生产废水、生活废水2套处理设施。生产废水经处理后回用不外排；生活废水经处理后排放至朱家潮塘河。现场检查时，该公司正在生产，废水处理设施正在运行，未发现偷排废水情况。执法人员现场要求该公司加强污水处理设施的维护和管理，确保设施正常运行。</w:t>
            </w:r>
          </w:p>
        </w:tc>
        <w:tc>
          <w:tcPr>
            <w:tcW w:w="1773" w:type="dxa"/>
            <w:vAlign w:val="center"/>
          </w:tcPr>
          <w:p w14:paraId="280E5F3B">
            <w:pPr>
              <w:adjustRightInd w:val="0"/>
              <w:spacing w:line="240" w:lineRule="auto"/>
              <w:rPr>
                <w:rFonts w:ascii="Times New Roman" w:hAnsi="Times New Roman" w:cs="Times New Roman" w:eastAsiaTheme="majorEastAsia"/>
                <w:szCs w:val="21"/>
              </w:rPr>
            </w:pPr>
          </w:p>
        </w:tc>
      </w:tr>
      <w:tr w14:paraId="79A648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50" w:hRule="atLeast"/>
        </w:trPr>
        <w:tc>
          <w:tcPr>
            <w:tcW w:w="531" w:type="dxa"/>
            <w:shd w:val="clear" w:color="auto" w:fill="auto"/>
            <w:vAlign w:val="center"/>
          </w:tcPr>
          <w:p w14:paraId="468E3933">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4</w:t>
            </w:r>
          </w:p>
        </w:tc>
        <w:tc>
          <w:tcPr>
            <w:tcW w:w="1066" w:type="dxa"/>
            <w:shd w:val="clear" w:color="auto" w:fill="auto"/>
            <w:vAlign w:val="center"/>
          </w:tcPr>
          <w:p w14:paraId="23A31216">
            <w:pPr>
              <w:spacing w:line="240" w:lineRule="auto"/>
              <w:jc w:val="center"/>
              <w:rPr>
                <w:rFonts w:hint="eastAsia" w:ascii="宋体" w:hAnsi="宋体" w:eastAsia="宋体"/>
                <w:szCs w:val="21"/>
                <w:lang w:eastAsia="zh-CN"/>
              </w:rPr>
            </w:pPr>
            <w:r>
              <w:rPr>
                <w:rFonts w:hint="eastAsia" w:ascii="宋体" w:hAnsi="宋体" w:eastAsia="宋体"/>
                <w:szCs w:val="21"/>
                <w:lang w:eastAsia="zh-CN"/>
              </w:rPr>
              <w:t>昆山市</w:t>
            </w:r>
          </w:p>
        </w:tc>
        <w:tc>
          <w:tcPr>
            <w:tcW w:w="2976" w:type="dxa"/>
            <w:shd w:val="clear" w:color="auto" w:fill="auto"/>
            <w:vAlign w:val="center"/>
          </w:tcPr>
          <w:p w14:paraId="704823D1">
            <w:pPr>
              <w:spacing w:line="240" w:lineRule="auto"/>
              <w:rPr>
                <w:rFonts w:hint="eastAsia" w:ascii="宋体" w:hAnsi="宋体" w:eastAsia="宋体"/>
                <w:szCs w:val="21"/>
                <w:lang w:val="en-US" w:eastAsia="zh-CN"/>
              </w:rPr>
            </w:pPr>
            <w:r>
              <w:rPr>
                <w:rFonts w:hint="eastAsia" w:ascii="宋体" w:hAnsi="宋体" w:eastAsia="宋体"/>
                <w:szCs w:val="21"/>
                <w:lang w:val="en-US" w:eastAsia="zh-CN"/>
              </w:rPr>
              <w:t>恩宇电子材料有限公司没有印刷许可证，但是经常在车间进行印刷。</w:t>
            </w:r>
          </w:p>
        </w:tc>
        <w:tc>
          <w:tcPr>
            <w:tcW w:w="6875" w:type="dxa"/>
            <w:shd w:val="clear" w:color="auto" w:fill="auto"/>
            <w:vAlign w:val="center"/>
          </w:tcPr>
          <w:p w14:paraId="6A73CF2C">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昆山生态环境局执法人员对昆山恩宇电子材料有限公司进行调处。现场检查时员工正在进行印刷作业，该公司负责人未能提供环评审批及验收手续。针对检查情况，昆山生态环境局将依据环保法律法规开展调查，如符合立案处罚条件的，将进一步立案处理。同时，昆山生态环境局执法人员现场已向企业开展普法宣传，要求企业及时推进环评申报工作，做好现场环境管理工作。</w:t>
            </w:r>
          </w:p>
        </w:tc>
        <w:tc>
          <w:tcPr>
            <w:tcW w:w="1773" w:type="dxa"/>
            <w:vAlign w:val="center"/>
          </w:tcPr>
          <w:p w14:paraId="45CDC0FC">
            <w:pPr>
              <w:adjustRightInd w:val="0"/>
              <w:spacing w:line="240" w:lineRule="auto"/>
              <w:rPr>
                <w:rFonts w:ascii="Times New Roman" w:hAnsi="Times New Roman" w:cs="Times New Roman" w:eastAsiaTheme="majorEastAsia"/>
                <w:szCs w:val="21"/>
              </w:rPr>
            </w:pPr>
          </w:p>
        </w:tc>
      </w:tr>
      <w:tr w14:paraId="457D7A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44" w:hRule="atLeast"/>
        </w:trPr>
        <w:tc>
          <w:tcPr>
            <w:tcW w:w="531" w:type="dxa"/>
            <w:shd w:val="clear" w:color="auto" w:fill="auto"/>
            <w:vAlign w:val="center"/>
          </w:tcPr>
          <w:p w14:paraId="0A7090DB">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5</w:t>
            </w:r>
          </w:p>
        </w:tc>
        <w:tc>
          <w:tcPr>
            <w:tcW w:w="1066" w:type="dxa"/>
            <w:shd w:val="clear" w:color="auto" w:fill="auto"/>
            <w:vAlign w:val="center"/>
          </w:tcPr>
          <w:p w14:paraId="411E885E">
            <w:pPr>
              <w:spacing w:line="240" w:lineRule="auto"/>
              <w:jc w:val="center"/>
              <w:rPr>
                <w:rFonts w:hint="eastAsia" w:ascii="宋体" w:hAnsi="宋体" w:eastAsia="宋体"/>
                <w:szCs w:val="21"/>
                <w:lang w:eastAsia="zh-CN"/>
              </w:rPr>
            </w:pPr>
            <w:r>
              <w:rPr>
                <w:rFonts w:hint="eastAsia" w:ascii="宋体" w:hAnsi="宋体" w:eastAsia="宋体"/>
                <w:szCs w:val="21"/>
                <w:lang w:eastAsia="zh-CN"/>
              </w:rPr>
              <w:t>吴江区</w:t>
            </w:r>
          </w:p>
        </w:tc>
        <w:tc>
          <w:tcPr>
            <w:tcW w:w="2976" w:type="dxa"/>
            <w:shd w:val="clear" w:color="auto" w:fill="auto"/>
            <w:vAlign w:val="center"/>
          </w:tcPr>
          <w:p w14:paraId="4E3D0070">
            <w:pPr>
              <w:spacing w:line="240" w:lineRule="auto"/>
              <w:rPr>
                <w:rFonts w:hint="eastAsia" w:ascii="宋体" w:hAnsi="宋体" w:eastAsia="宋体"/>
                <w:szCs w:val="21"/>
                <w:lang w:val="en-US" w:eastAsia="zh-CN"/>
              </w:rPr>
            </w:pPr>
            <w:r>
              <w:rPr>
                <w:rFonts w:hint="eastAsia" w:ascii="宋体" w:hAnsi="宋体" w:eastAsia="宋体"/>
                <w:szCs w:val="21"/>
                <w:lang w:val="en-US" w:eastAsia="zh-CN"/>
              </w:rPr>
              <w:t>诉求人反映：东太湖度假区（太湖新城）八坼街道友谊路179号院子里有一家企业叫苏州惠森机械有限公司，是经营机械加工的，车间作业时产生的油污，没有经过处理就排放到厂外面公共道路，影响环境，希望部门处理。</w:t>
            </w:r>
          </w:p>
        </w:tc>
        <w:tc>
          <w:tcPr>
            <w:tcW w:w="6875" w:type="dxa"/>
            <w:shd w:val="clear" w:color="auto" w:fill="auto"/>
            <w:vAlign w:val="center"/>
          </w:tcPr>
          <w:p w14:paraId="315399E8">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2026年8月20日，执法人员对市民反映的企业进行现场检查。经查，该企业为苏州惠森机械有限公司，主要从事金属加工，加工过程中使用切削液及机油。现场检查时，企业正常生产，现场未发现偷排切削液及机油的情况；但车间门口堆放较多杂物，存在环境风险隐患，已责令企业立即清理整改。目前，企业已将杂物进行清理。下一步，吴江生态环境局将加强对该企业的巡查监管。</w:t>
            </w:r>
          </w:p>
        </w:tc>
        <w:tc>
          <w:tcPr>
            <w:tcW w:w="1773" w:type="dxa"/>
            <w:vAlign w:val="center"/>
          </w:tcPr>
          <w:p w14:paraId="080B4F2C">
            <w:pPr>
              <w:adjustRightInd w:val="0"/>
              <w:spacing w:line="240" w:lineRule="auto"/>
              <w:rPr>
                <w:rFonts w:ascii="Times New Roman" w:hAnsi="Times New Roman" w:cs="Times New Roman" w:eastAsiaTheme="majorEastAsia"/>
                <w:szCs w:val="21"/>
              </w:rPr>
            </w:pPr>
          </w:p>
        </w:tc>
      </w:tr>
      <w:tr w14:paraId="1FD243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46" w:hRule="atLeast"/>
        </w:trPr>
        <w:tc>
          <w:tcPr>
            <w:tcW w:w="531" w:type="dxa"/>
            <w:shd w:val="clear" w:color="auto" w:fill="auto"/>
            <w:vAlign w:val="center"/>
          </w:tcPr>
          <w:p w14:paraId="7F4BDDAB">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6</w:t>
            </w:r>
          </w:p>
        </w:tc>
        <w:tc>
          <w:tcPr>
            <w:tcW w:w="1066" w:type="dxa"/>
            <w:shd w:val="clear" w:color="auto" w:fill="auto"/>
            <w:vAlign w:val="center"/>
          </w:tcPr>
          <w:p w14:paraId="70348C81">
            <w:pPr>
              <w:spacing w:line="240" w:lineRule="auto"/>
              <w:jc w:val="center"/>
              <w:rPr>
                <w:rFonts w:hint="eastAsia" w:ascii="宋体" w:hAnsi="宋体" w:eastAsia="宋体"/>
                <w:szCs w:val="21"/>
                <w:lang w:eastAsia="zh-CN"/>
              </w:rPr>
            </w:pPr>
            <w:r>
              <w:rPr>
                <w:rFonts w:hint="eastAsia" w:ascii="宋体" w:hAnsi="宋体" w:eastAsia="宋体"/>
                <w:szCs w:val="21"/>
                <w:lang w:eastAsia="zh-CN"/>
              </w:rPr>
              <w:t>吴中区</w:t>
            </w:r>
          </w:p>
        </w:tc>
        <w:tc>
          <w:tcPr>
            <w:tcW w:w="2976" w:type="dxa"/>
            <w:shd w:val="clear" w:color="auto" w:fill="auto"/>
            <w:vAlign w:val="center"/>
          </w:tcPr>
          <w:p w14:paraId="5575ACAB">
            <w:pPr>
              <w:spacing w:line="240" w:lineRule="auto"/>
              <w:rPr>
                <w:rFonts w:hint="eastAsia" w:ascii="宋体" w:hAnsi="宋体" w:eastAsia="宋体"/>
                <w:szCs w:val="21"/>
                <w:lang w:val="en-US" w:eastAsia="zh-CN"/>
              </w:rPr>
            </w:pPr>
            <w:r>
              <w:rPr>
                <w:rFonts w:hint="eastAsia" w:ascii="宋体" w:hAnsi="宋体" w:eastAsia="宋体"/>
                <w:szCs w:val="21"/>
                <w:lang w:val="en-US" w:eastAsia="zh-CN"/>
              </w:rPr>
              <w:t>吴中区城市管理局院内凌晨4点开始施工，施工车一直在响，产生噪声扰民。</w:t>
            </w:r>
          </w:p>
        </w:tc>
        <w:tc>
          <w:tcPr>
            <w:tcW w:w="6875" w:type="dxa"/>
            <w:shd w:val="clear" w:color="auto" w:fill="auto"/>
            <w:vAlign w:val="center"/>
          </w:tcPr>
          <w:p w14:paraId="493448F8">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经查，信访人反映实为吴中区城市管理局办公楼屋面维修的机械施工噪声，位于吴中区吴中东路145号。经核实，该单位因办公楼年久失修，屋面漏雨，为应对台风预警，于8月4日凌晨对漏雨屋面进行抢修，开展混凝土浇筑作业，施工噪声对附近居民产生影响。针对上述情况，执法人员要求该单位停止产生噪声的夜间施工作业，后续相关施工作业须在白天进行，采取有效措施降低施工噪声，减少噪声扰民。</w:t>
            </w:r>
          </w:p>
        </w:tc>
        <w:tc>
          <w:tcPr>
            <w:tcW w:w="1773" w:type="dxa"/>
            <w:vAlign w:val="center"/>
          </w:tcPr>
          <w:p w14:paraId="75596FF7">
            <w:pPr>
              <w:adjustRightInd w:val="0"/>
              <w:spacing w:line="240" w:lineRule="auto"/>
              <w:rPr>
                <w:rFonts w:ascii="Times New Roman" w:hAnsi="Times New Roman" w:cs="Times New Roman" w:eastAsiaTheme="majorEastAsia"/>
                <w:szCs w:val="21"/>
              </w:rPr>
            </w:pPr>
          </w:p>
        </w:tc>
      </w:tr>
      <w:tr w14:paraId="20BEA9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67" w:hRule="atLeast"/>
        </w:trPr>
        <w:tc>
          <w:tcPr>
            <w:tcW w:w="531" w:type="dxa"/>
            <w:shd w:val="clear" w:color="auto" w:fill="auto"/>
            <w:vAlign w:val="center"/>
          </w:tcPr>
          <w:p w14:paraId="7DE85F65">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7</w:t>
            </w:r>
          </w:p>
        </w:tc>
        <w:tc>
          <w:tcPr>
            <w:tcW w:w="1066" w:type="dxa"/>
            <w:shd w:val="clear" w:color="auto" w:fill="auto"/>
            <w:vAlign w:val="center"/>
          </w:tcPr>
          <w:p w14:paraId="4729B4DE">
            <w:pPr>
              <w:spacing w:line="240" w:lineRule="auto"/>
              <w:jc w:val="center"/>
              <w:rPr>
                <w:rFonts w:hint="eastAsia" w:ascii="宋体" w:hAnsi="宋体" w:eastAsia="宋体"/>
                <w:szCs w:val="21"/>
                <w:lang w:eastAsia="zh-CN"/>
              </w:rPr>
            </w:pPr>
            <w:r>
              <w:rPr>
                <w:rFonts w:hint="eastAsia" w:ascii="宋体" w:hAnsi="宋体" w:eastAsia="宋体"/>
                <w:szCs w:val="21"/>
                <w:lang w:eastAsia="zh-CN"/>
              </w:rPr>
              <w:t>相城区</w:t>
            </w:r>
          </w:p>
        </w:tc>
        <w:tc>
          <w:tcPr>
            <w:tcW w:w="2976" w:type="dxa"/>
            <w:shd w:val="clear" w:color="auto" w:fill="auto"/>
            <w:vAlign w:val="center"/>
          </w:tcPr>
          <w:p w14:paraId="65194E65">
            <w:pPr>
              <w:spacing w:line="240" w:lineRule="auto"/>
              <w:rPr>
                <w:rFonts w:hint="eastAsia" w:ascii="宋体" w:hAnsi="宋体" w:eastAsia="宋体"/>
                <w:szCs w:val="21"/>
                <w:lang w:val="en-US" w:eastAsia="zh-CN"/>
              </w:rPr>
            </w:pPr>
            <w:r>
              <w:rPr>
                <w:rFonts w:hint="eastAsia" w:ascii="宋体" w:hAnsi="宋体" w:eastAsia="宋体"/>
                <w:szCs w:val="21"/>
                <w:lang w:val="en-US" w:eastAsia="zh-CN"/>
              </w:rPr>
              <w:t>望亭镇望南小学对面的立婷锁业，二楼有个隐蔽的小房间（常年关闭），从事喷漆作业。要求核查，并保密</w:t>
            </w:r>
          </w:p>
        </w:tc>
        <w:tc>
          <w:tcPr>
            <w:tcW w:w="6875" w:type="dxa"/>
            <w:shd w:val="clear" w:color="auto" w:fill="auto"/>
            <w:vAlign w:val="center"/>
          </w:tcPr>
          <w:p w14:paraId="395C7A28">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2026年8月26日，苏州市相城生态环境局对被投诉单位开展现场检查。被投诉单位位于苏州市相城区聚福路，全名为“苏州立婷锁业有限公司”，从事金属锁芯生产，主要生产工艺包括下料、拉槽、打孔、开齿等。现场检查时未发现喷漆工艺。苏州市相城生态环境局将加强对该单位的监管，督促该单位严格按照环保相关法律法规开展生产活动。</w:t>
            </w:r>
          </w:p>
        </w:tc>
        <w:tc>
          <w:tcPr>
            <w:tcW w:w="1773" w:type="dxa"/>
            <w:vAlign w:val="center"/>
          </w:tcPr>
          <w:p w14:paraId="239013A8">
            <w:pPr>
              <w:adjustRightInd w:val="0"/>
              <w:spacing w:line="240" w:lineRule="auto"/>
              <w:rPr>
                <w:rFonts w:ascii="Times New Roman" w:hAnsi="Times New Roman" w:cs="Times New Roman" w:eastAsiaTheme="majorEastAsia"/>
                <w:szCs w:val="21"/>
              </w:rPr>
            </w:pPr>
          </w:p>
        </w:tc>
      </w:tr>
      <w:tr w14:paraId="43FCEB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521" w:hRule="atLeast"/>
        </w:trPr>
        <w:tc>
          <w:tcPr>
            <w:tcW w:w="531" w:type="dxa"/>
            <w:shd w:val="clear" w:color="auto" w:fill="auto"/>
            <w:vAlign w:val="center"/>
          </w:tcPr>
          <w:p w14:paraId="39B5CB2A">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8</w:t>
            </w:r>
          </w:p>
        </w:tc>
        <w:tc>
          <w:tcPr>
            <w:tcW w:w="1066" w:type="dxa"/>
            <w:shd w:val="clear" w:color="auto" w:fill="auto"/>
            <w:vAlign w:val="center"/>
          </w:tcPr>
          <w:p w14:paraId="0DA0A726">
            <w:pPr>
              <w:spacing w:line="240" w:lineRule="auto"/>
              <w:jc w:val="center"/>
              <w:rPr>
                <w:rFonts w:hint="eastAsia" w:ascii="宋体" w:hAnsi="宋体" w:eastAsia="宋体"/>
                <w:szCs w:val="21"/>
                <w:lang w:eastAsia="zh-CN"/>
              </w:rPr>
            </w:pPr>
            <w:r>
              <w:rPr>
                <w:rFonts w:hint="eastAsia" w:ascii="宋体" w:hAnsi="宋体" w:eastAsia="宋体"/>
                <w:szCs w:val="21"/>
                <w:lang w:eastAsia="zh-CN"/>
              </w:rPr>
              <w:t>姑苏区</w:t>
            </w:r>
          </w:p>
        </w:tc>
        <w:tc>
          <w:tcPr>
            <w:tcW w:w="2976" w:type="dxa"/>
            <w:shd w:val="clear" w:color="auto" w:fill="auto"/>
            <w:vAlign w:val="center"/>
          </w:tcPr>
          <w:p w14:paraId="65C03F93">
            <w:pPr>
              <w:spacing w:line="240" w:lineRule="auto"/>
              <w:rPr>
                <w:rFonts w:hint="default" w:ascii="宋体" w:hAnsi="宋体" w:eastAsia="宋体"/>
                <w:szCs w:val="21"/>
                <w:lang w:val="en-US" w:eastAsia="zh-CN"/>
              </w:rPr>
            </w:pPr>
            <w:r>
              <w:rPr>
                <w:rFonts w:hint="eastAsia" w:ascii="宋体" w:hAnsi="宋体" w:eastAsia="宋体"/>
                <w:szCs w:val="21"/>
                <w:lang w:val="en-US" w:eastAsia="zh-CN"/>
              </w:rPr>
              <w:t>苏地2026-WG-Z01地块噪声扰民</w:t>
            </w:r>
          </w:p>
        </w:tc>
        <w:tc>
          <w:tcPr>
            <w:tcW w:w="6875" w:type="dxa"/>
            <w:shd w:val="clear" w:color="auto" w:fill="auto"/>
            <w:vAlign w:val="center"/>
          </w:tcPr>
          <w:p w14:paraId="2AF04B53">
            <w:pPr>
              <w:spacing w:line="240" w:lineRule="auto"/>
              <w:rPr>
                <w:rFonts w:hint="eastAsia" w:ascii="宋体" w:hAnsi="宋体" w:eastAsia="宋体"/>
                <w:szCs w:val="21"/>
                <w:lang w:val="en-US" w:eastAsia="zh-CN"/>
              </w:rPr>
            </w:pPr>
            <w:r>
              <w:rPr>
                <w:rFonts w:hint="eastAsia" w:ascii="宋体" w:hAnsi="宋体" w:eastAsia="宋体"/>
                <w:szCs w:val="21"/>
                <w:lang w:val="en-US" w:eastAsia="zh-CN"/>
              </w:rPr>
              <w:t xml:space="preserve">    金茂南门项目（原沃尔玛地块）工地为苏地2026-WG-Z01地块，位于南环路、东北北路东南方向，建设单位为苏州勇茂置业有限公司，施工单位为上海家树建设集团有限公司，该地块目前处于主体结构、示范区建设施工中。1.苏州市生态环境局会同姑苏生态环境局多次约谈该项目建设方及施工方项目经理，要求其严格遵守《中华人民共和国噪声污染防治法》、《生态环境法典》，加强现场管理，合理安排施工工序和进度。同时，市区两级生态环境部门加强联动，加大夜间巡查力度，督促施工方落实噪声防控主体责任。2.除正常夜间巡查外，姑苏生态环境局多次组织开展夜间突击检查。7月22日晚22时30分、8月5日晚22时30分，执法人员现场检查时发现该工地正在施工，且无法提供夜间施工作业证明，当即责令停止施工，并依法立案查处，立案号分别为苏环立字08（2026）03号、苏环立字08（2026）04号，目前案件正在办理中。3.8月20日下午，苏州市生态环境局、苏州市住房和城乡建设局、姑苏区住房和建设委员会及我局联合约谈该项目建设方、施工方及监理方，要求建设方立即采取切实措施停止夜间噪声扰民。姑苏生态环境局将继续加强对该项目的监管力度，强化施工噪声常态化巡查监管，督促建设、施工单位落实降噪抑噪措施，严格遵守施工时间规定。及时处置噪声相关投诉，对噪声超标行为依法查处，切实化解噪声扰民问题，保障周边群众生活环境权益。</w:t>
            </w:r>
          </w:p>
        </w:tc>
        <w:tc>
          <w:tcPr>
            <w:tcW w:w="1773" w:type="dxa"/>
            <w:vAlign w:val="center"/>
          </w:tcPr>
          <w:p w14:paraId="6FBCE74E">
            <w:pPr>
              <w:adjustRightInd w:val="0"/>
              <w:spacing w:line="240" w:lineRule="auto"/>
              <w:rPr>
                <w:rFonts w:ascii="Times New Roman" w:hAnsi="Times New Roman" w:cs="Times New Roman" w:eastAsiaTheme="majorEastAsia"/>
                <w:szCs w:val="21"/>
              </w:rPr>
            </w:pPr>
          </w:p>
        </w:tc>
      </w:tr>
      <w:tr w14:paraId="3868B3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1" w:hRule="atLeast"/>
        </w:trPr>
        <w:tc>
          <w:tcPr>
            <w:tcW w:w="531" w:type="dxa"/>
            <w:shd w:val="clear" w:color="auto" w:fill="auto"/>
            <w:vAlign w:val="center"/>
          </w:tcPr>
          <w:p w14:paraId="4E3F6548">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9</w:t>
            </w:r>
          </w:p>
        </w:tc>
        <w:tc>
          <w:tcPr>
            <w:tcW w:w="1066" w:type="dxa"/>
            <w:shd w:val="clear" w:color="auto" w:fill="auto"/>
            <w:vAlign w:val="center"/>
          </w:tcPr>
          <w:p w14:paraId="1712F10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工业园区</w:t>
            </w:r>
          </w:p>
        </w:tc>
        <w:tc>
          <w:tcPr>
            <w:tcW w:w="2976" w:type="dxa"/>
            <w:shd w:val="clear" w:color="auto" w:fill="auto"/>
            <w:vAlign w:val="center"/>
          </w:tcPr>
          <w:p w14:paraId="5E940841">
            <w:pPr>
              <w:spacing w:line="240" w:lineRule="auto"/>
              <w:rPr>
                <w:rFonts w:hint="eastAsia" w:ascii="宋体" w:hAnsi="宋体" w:eastAsia="宋体"/>
                <w:szCs w:val="21"/>
                <w:lang w:val="en-US" w:eastAsia="zh-CN"/>
              </w:rPr>
            </w:pPr>
            <w:r>
              <w:rPr>
                <w:rFonts w:hint="eastAsia" w:ascii="宋体" w:hAnsi="宋体" w:eastAsia="宋体"/>
                <w:szCs w:val="21"/>
                <w:lang w:val="en-US" w:eastAsia="zh-CN"/>
              </w:rPr>
              <w:t>反映苏州道森阀门有限公司露天喷漆问题</w:t>
            </w:r>
          </w:p>
          <w:p w14:paraId="1B0D282A">
            <w:pPr>
              <w:spacing w:line="240" w:lineRule="auto"/>
              <w:rPr>
                <w:rFonts w:hint="eastAsia" w:ascii="宋体" w:hAnsi="宋体" w:eastAsia="宋体"/>
                <w:szCs w:val="21"/>
                <w:lang w:val="en-US" w:eastAsia="zh-CN"/>
              </w:rPr>
            </w:pPr>
          </w:p>
        </w:tc>
        <w:tc>
          <w:tcPr>
            <w:tcW w:w="6875" w:type="dxa"/>
            <w:shd w:val="clear" w:color="auto" w:fill="auto"/>
            <w:vAlign w:val="center"/>
          </w:tcPr>
          <w:p w14:paraId="139685B5">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接投诉后，执法人员于6月15日即至现场检查，检查时，该公司喷涂线未在生产，厂内未在进行喷漆作业。但执法人员现场发现清洗工位地面铺设的垫板上存在油漆痕迹，工位北侧堆放有晾干的灰色及绿色物品存储筐，工位西侧存放有半桶灯塔牌涂料及喷涂设备。同时调阅该公司D21喷漆工位视频监控，发现该公司于6月15日13时32分左右在清洗工位进行存储筐喷漆作业。</w:t>
            </w:r>
          </w:p>
          <w:p w14:paraId="22328F96">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针对检查发现的道森公司在清洗工位进行喷漆作业的问题，执法人员已要求道森公司按规范进行喷漆作业，不得在喷漆房外的工位进行违规喷漆，同时对该行为进行进一步调查。后续园区环保部门将继续加强对该公司的环境监管，若查实其存在环境违法行为，将依法严肃处理；同时要求该公司继续强化环境管理，完善各类环保设施管理措施，有效落实生态环境保护主体责任。</w:t>
            </w:r>
          </w:p>
          <w:p w14:paraId="799E7D9B">
            <w:pPr>
              <w:spacing w:line="240" w:lineRule="auto"/>
              <w:rPr>
                <w:rFonts w:hint="eastAsia" w:ascii="宋体" w:hAnsi="宋体" w:eastAsia="宋体"/>
                <w:szCs w:val="21"/>
                <w:lang w:val="en-US" w:eastAsia="zh-CN"/>
              </w:rPr>
            </w:pPr>
          </w:p>
        </w:tc>
        <w:tc>
          <w:tcPr>
            <w:tcW w:w="1773" w:type="dxa"/>
            <w:vAlign w:val="center"/>
          </w:tcPr>
          <w:p w14:paraId="73DF4F11">
            <w:pPr>
              <w:adjustRightInd w:val="0"/>
              <w:spacing w:line="240" w:lineRule="auto"/>
              <w:rPr>
                <w:rFonts w:ascii="Times New Roman" w:hAnsi="Times New Roman" w:cs="Times New Roman" w:eastAsiaTheme="majorEastAsia"/>
                <w:szCs w:val="21"/>
              </w:rPr>
            </w:pPr>
          </w:p>
        </w:tc>
      </w:tr>
      <w:tr w14:paraId="70652E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66" w:hRule="atLeast"/>
        </w:trPr>
        <w:tc>
          <w:tcPr>
            <w:tcW w:w="531" w:type="dxa"/>
            <w:shd w:val="clear" w:color="auto" w:fill="auto"/>
            <w:vAlign w:val="center"/>
          </w:tcPr>
          <w:p w14:paraId="5E6DF793">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10</w:t>
            </w:r>
          </w:p>
        </w:tc>
        <w:tc>
          <w:tcPr>
            <w:tcW w:w="1066" w:type="dxa"/>
            <w:shd w:val="clear" w:color="auto" w:fill="auto"/>
            <w:vAlign w:val="center"/>
          </w:tcPr>
          <w:p w14:paraId="0EBFAD21">
            <w:pPr>
              <w:spacing w:line="240" w:lineRule="auto"/>
              <w:jc w:val="center"/>
              <w:rPr>
                <w:rFonts w:hint="eastAsia" w:ascii="宋体" w:hAnsi="宋体" w:eastAsia="宋体"/>
                <w:szCs w:val="21"/>
                <w:lang w:eastAsia="zh-CN"/>
              </w:rPr>
            </w:pPr>
            <w:r>
              <w:rPr>
                <w:rFonts w:hint="eastAsia" w:ascii="宋体" w:hAnsi="宋体" w:eastAsia="宋体"/>
                <w:szCs w:val="21"/>
                <w:lang w:eastAsia="zh-CN"/>
              </w:rPr>
              <w:t>高新区</w:t>
            </w:r>
          </w:p>
        </w:tc>
        <w:tc>
          <w:tcPr>
            <w:tcW w:w="2976" w:type="dxa"/>
            <w:shd w:val="clear" w:color="auto" w:fill="auto"/>
            <w:vAlign w:val="center"/>
          </w:tcPr>
          <w:p w14:paraId="13EFF056">
            <w:pPr>
              <w:spacing w:line="240" w:lineRule="auto"/>
              <w:rPr>
                <w:rFonts w:hint="eastAsia" w:ascii="宋体" w:hAnsi="宋体" w:eastAsia="宋体"/>
                <w:szCs w:val="21"/>
                <w:lang w:val="en-US" w:eastAsia="zh-CN"/>
              </w:rPr>
            </w:pPr>
            <w:r>
              <w:rPr>
                <w:rFonts w:hint="eastAsia" w:ascii="宋体" w:hAnsi="宋体" w:eastAsia="宋体"/>
                <w:szCs w:val="21"/>
                <w:lang w:val="en-US" w:eastAsia="zh-CN"/>
              </w:rPr>
              <w:t>诉求人表示最近在虎丘区何山路368号长盛科技园内最西侧由北向南第二栋厂房外有设备一直发出噪声，非常扰民，故其来电希望相关部门核实处理。</w:t>
            </w:r>
          </w:p>
        </w:tc>
        <w:tc>
          <w:tcPr>
            <w:tcW w:w="6875" w:type="dxa"/>
            <w:shd w:val="clear" w:color="auto" w:fill="auto"/>
            <w:vAlign w:val="center"/>
          </w:tcPr>
          <w:p w14:paraId="097F65B8">
            <w:pPr>
              <w:spacing w:line="240" w:lineRule="auto"/>
              <w:ind w:firstLine="420" w:firstLineChars="200"/>
              <w:rPr>
                <w:rFonts w:hint="eastAsia" w:ascii="宋体" w:hAnsi="宋体" w:eastAsia="宋体"/>
                <w:szCs w:val="21"/>
                <w:lang w:val="en-US" w:eastAsia="zh-CN"/>
              </w:rPr>
            </w:pPr>
            <w:bookmarkStart w:id="0" w:name="_GoBack"/>
            <w:bookmarkEnd w:id="0"/>
            <w:r>
              <w:rPr>
                <w:rFonts w:hint="eastAsia" w:ascii="宋体" w:hAnsi="宋体" w:eastAsia="宋体"/>
                <w:szCs w:val="21"/>
                <w:lang w:val="en-US" w:eastAsia="zh-CN"/>
              </w:rPr>
              <w:t>接到投诉后，苏州高新区（虎丘）生态环境综合行政执法局前往投诉地点查看。经排查，噪声源应为尼得科动力系统（上海）有限公司车间外西侧的冷却设备。执法人员现场已要求企业在非必要时关闭设备，并及时对设备设施进行维护保养，避免设备异响扰民。</w:t>
            </w:r>
          </w:p>
        </w:tc>
        <w:tc>
          <w:tcPr>
            <w:tcW w:w="1773" w:type="dxa"/>
            <w:vAlign w:val="center"/>
          </w:tcPr>
          <w:p w14:paraId="0A3218E6">
            <w:pPr>
              <w:adjustRightInd w:val="0"/>
              <w:spacing w:line="240" w:lineRule="auto"/>
              <w:rPr>
                <w:rFonts w:ascii="Times New Roman" w:hAnsi="Times New Roman" w:cs="Times New Roman" w:eastAsiaTheme="majorEastAsia"/>
                <w:szCs w:val="21"/>
              </w:rPr>
            </w:pPr>
          </w:p>
        </w:tc>
      </w:tr>
    </w:tbl>
    <w:p w14:paraId="023623C5">
      <w:pPr>
        <w:spacing w:line="240" w:lineRule="auto"/>
        <w:rPr>
          <w:rFonts w:hint="eastAsia" w:asciiTheme="minorEastAsia" w:hAnsiTheme="minorEastAsia"/>
          <w:szCs w:val="21"/>
        </w:rPr>
      </w:pPr>
    </w:p>
    <w:sectPr>
      <w:pgSz w:w="16838" w:h="11906" w:orient="landscape"/>
      <w:pgMar w:top="1560" w:right="1440" w:bottom="1418"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A00002EF" w:usb1="4000004B" w:usb2="00000000" w:usb3="00000000" w:csb0="2000019F"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C4F0B"/>
    <w:rsid w:val="000027D4"/>
    <w:rsid w:val="000055B7"/>
    <w:rsid w:val="00007CF9"/>
    <w:rsid w:val="000129BD"/>
    <w:rsid w:val="000134B2"/>
    <w:rsid w:val="0001624C"/>
    <w:rsid w:val="000179F5"/>
    <w:rsid w:val="00017CFE"/>
    <w:rsid w:val="00021508"/>
    <w:rsid w:val="0002242B"/>
    <w:rsid w:val="00023A1E"/>
    <w:rsid w:val="00024D76"/>
    <w:rsid w:val="0002544D"/>
    <w:rsid w:val="00025466"/>
    <w:rsid w:val="000259E1"/>
    <w:rsid w:val="00027B14"/>
    <w:rsid w:val="000336FC"/>
    <w:rsid w:val="00035407"/>
    <w:rsid w:val="00035D45"/>
    <w:rsid w:val="00036AAD"/>
    <w:rsid w:val="000406E4"/>
    <w:rsid w:val="00041A3F"/>
    <w:rsid w:val="00042406"/>
    <w:rsid w:val="00043871"/>
    <w:rsid w:val="00046F63"/>
    <w:rsid w:val="0004709C"/>
    <w:rsid w:val="000503B2"/>
    <w:rsid w:val="00050664"/>
    <w:rsid w:val="00053572"/>
    <w:rsid w:val="000564D7"/>
    <w:rsid w:val="0006462C"/>
    <w:rsid w:val="00071321"/>
    <w:rsid w:val="000719B2"/>
    <w:rsid w:val="00073001"/>
    <w:rsid w:val="00073E9C"/>
    <w:rsid w:val="00075D63"/>
    <w:rsid w:val="0007675D"/>
    <w:rsid w:val="00076D63"/>
    <w:rsid w:val="00076EDF"/>
    <w:rsid w:val="0008052C"/>
    <w:rsid w:val="00082BCB"/>
    <w:rsid w:val="00082FBD"/>
    <w:rsid w:val="00086142"/>
    <w:rsid w:val="00090F0B"/>
    <w:rsid w:val="000915CA"/>
    <w:rsid w:val="00097CAB"/>
    <w:rsid w:val="000A27CD"/>
    <w:rsid w:val="000A3442"/>
    <w:rsid w:val="000A5F60"/>
    <w:rsid w:val="000A6B7A"/>
    <w:rsid w:val="000B0457"/>
    <w:rsid w:val="000B05E0"/>
    <w:rsid w:val="000B144D"/>
    <w:rsid w:val="000B5ABA"/>
    <w:rsid w:val="000B78AF"/>
    <w:rsid w:val="000C6155"/>
    <w:rsid w:val="000C787A"/>
    <w:rsid w:val="000D2CF9"/>
    <w:rsid w:val="000D44B6"/>
    <w:rsid w:val="000D5E69"/>
    <w:rsid w:val="000E0088"/>
    <w:rsid w:val="000E06EB"/>
    <w:rsid w:val="000E5DC1"/>
    <w:rsid w:val="000E5E0E"/>
    <w:rsid w:val="000E722C"/>
    <w:rsid w:val="000E75F8"/>
    <w:rsid w:val="000F00B9"/>
    <w:rsid w:val="000F0FDD"/>
    <w:rsid w:val="000F10E8"/>
    <w:rsid w:val="000F2618"/>
    <w:rsid w:val="000F49C7"/>
    <w:rsid w:val="000F6351"/>
    <w:rsid w:val="000F64B8"/>
    <w:rsid w:val="000F65BE"/>
    <w:rsid w:val="000F66E3"/>
    <w:rsid w:val="000F67AF"/>
    <w:rsid w:val="0010017C"/>
    <w:rsid w:val="0010302F"/>
    <w:rsid w:val="00103700"/>
    <w:rsid w:val="001054BB"/>
    <w:rsid w:val="00111B5E"/>
    <w:rsid w:val="00113423"/>
    <w:rsid w:val="001145A7"/>
    <w:rsid w:val="00114B20"/>
    <w:rsid w:val="001159FC"/>
    <w:rsid w:val="00117CD8"/>
    <w:rsid w:val="00121D46"/>
    <w:rsid w:val="00125BD9"/>
    <w:rsid w:val="001305C5"/>
    <w:rsid w:val="001325F7"/>
    <w:rsid w:val="001342AD"/>
    <w:rsid w:val="00134C86"/>
    <w:rsid w:val="00137B56"/>
    <w:rsid w:val="00140C60"/>
    <w:rsid w:val="0014112E"/>
    <w:rsid w:val="00141924"/>
    <w:rsid w:val="00141987"/>
    <w:rsid w:val="00143480"/>
    <w:rsid w:val="00144F0B"/>
    <w:rsid w:val="00147440"/>
    <w:rsid w:val="0015047C"/>
    <w:rsid w:val="001565AE"/>
    <w:rsid w:val="00157F7D"/>
    <w:rsid w:val="00160502"/>
    <w:rsid w:val="00164EC3"/>
    <w:rsid w:val="001651A7"/>
    <w:rsid w:val="00165732"/>
    <w:rsid w:val="00166194"/>
    <w:rsid w:val="00167857"/>
    <w:rsid w:val="00172AD8"/>
    <w:rsid w:val="00173675"/>
    <w:rsid w:val="00180511"/>
    <w:rsid w:val="0018262E"/>
    <w:rsid w:val="00183AC2"/>
    <w:rsid w:val="001840D0"/>
    <w:rsid w:val="00184168"/>
    <w:rsid w:val="001842D9"/>
    <w:rsid w:val="0018592D"/>
    <w:rsid w:val="00185C49"/>
    <w:rsid w:val="00186A01"/>
    <w:rsid w:val="00187835"/>
    <w:rsid w:val="00187C39"/>
    <w:rsid w:val="001916EF"/>
    <w:rsid w:val="00193381"/>
    <w:rsid w:val="001942E1"/>
    <w:rsid w:val="0019575C"/>
    <w:rsid w:val="001A0EF4"/>
    <w:rsid w:val="001A3E5B"/>
    <w:rsid w:val="001A46FD"/>
    <w:rsid w:val="001A4904"/>
    <w:rsid w:val="001A5766"/>
    <w:rsid w:val="001A5A84"/>
    <w:rsid w:val="001A6DB0"/>
    <w:rsid w:val="001A6F22"/>
    <w:rsid w:val="001A7719"/>
    <w:rsid w:val="001B0E6C"/>
    <w:rsid w:val="001B6F71"/>
    <w:rsid w:val="001C3441"/>
    <w:rsid w:val="001C4414"/>
    <w:rsid w:val="001C7341"/>
    <w:rsid w:val="001C7B95"/>
    <w:rsid w:val="001D2078"/>
    <w:rsid w:val="001D3A4F"/>
    <w:rsid w:val="001D77B6"/>
    <w:rsid w:val="001E02CB"/>
    <w:rsid w:val="001E301A"/>
    <w:rsid w:val="001E30EB"/>
    <w:rsid w:val="001F2638"/>
    <w:rsid w:val="001F4961"/>
    <w:rsid w:val="001F628C"/>
    <w:rsid w:val="001F6724"/>
    <w:rsid w:val="0020013C"/>
    <w:rsid w:val="0020349C"/>
    <w:rsid w:val="002038F3"/>
    <w:rsid w:val="00204966"/>
    <w:rsid w:val="00205850"/>
    <w:rsid w:val="0021006E"/>
    <w:rsid w:val="00210788"/>
    <w:rsid w:val="00211ADC"/>
    <w:rsid w:val="00212C22"/>
    <w:rsid w:val="00214BD8"/>
    <w:rsid w:val="00215595"/>
    <w:rsid w:val="00215E18"/>
    <w:rsid w:val="00217158"/>
    <w:rsid w:val="00220E2D"/>
    <w:rsid w:val="00225E89"/>
    <w:rsid w:val="00225E8D"/>
    <w:rsid w:val="00226047"/>
    <w:rsid w:val="00226B71"/>
    <w:rsid w:val="00227707"/>
    <w:rsid w:val="0023283E"/>
    <w:rsid w:val="00232909"/>
    <w:rsid w:val="00233415"/>
    <w:rsid w:val="00233658"/>
    <w:rsid w:val="002379B9"/>
    <w:rsid w:val="00237A6D"/>
    <w:rsid w:val="002405F5"/>
    <w:rsid w:val="00242FD3"/>
    <w:rsid w:val="00246134"/>
    <w:rsid w:val="00246EC7"/>
    <w:rsid w:val="00251F83"/>
    <w:rsid w:val="00251FA6"/>
    <w:rsid w:val="00252B74"/>
    <w:rsid w:val="002536D1"/>
    <w:rsid w:val="00257554"/>
    <w:rsid w:val="00261AB1"/>
    <w:rsid w:val="002625AC"/>
    <w:rsid w:val="00262765"/>
    <w:rsid w:val="00264F4E"/>
    <w:rsid w:val="00270855"/>
    <w:rsid w:val="00270B9E"/>
    <w:rsid w:val="00276A4C"/>
    <w:rsid w:val="0027757C"/>
    <w:rsid w:val="00277CBC"/>
    <w:rsid w:val="00284E47"/>
    <w:rsid w:val="00285DFC"/>
    <w:rsid w:val="00287FCC"/>
    <w:rsid w:val="002971D4"/>
    <w:rsid w:val="002A3199"/>
    <w:rsid w:val="002A710A"/>
    <w:rsid w:val="002A7FD7"/>
    <w:rsid w:val="002B0E14"/>
    <w:rsid w:val="002B178B"/>
    <w:rsid w:val="002B21E4"/>
    <w:rsid w:val="002B45FE"/>
    <w:rsid w:val="002B529B"/>
    <w:rsid w:val="002B66FC"/>
    <w:rsid w:val="002B740C"/>
    <w:rsid w:val="002B7B61"/>
    <w:rsid w:val="002B7B85"/>
    <w:rsid w:val="002C1345"/>
    <w:rsid w:val="002C37FC"/>
    <w:rsid w:val="002C3930"/>
    <w:rsid w:val="002C3DA1"/>
    <w:rsid w:val="002C495C"/>
    <w:rsid w:val="002C4995"/>
    <w:rsid w:val="002C4CC3"/>
    <w:rsid w:val="002C5465"/>
    <w:rsid w:val="002C5A4A"/>
    <w:rsid w:val="002C68B0"/>
    <w:rsid w:val="002D4BCC"/>
    <w:rsid w:val="002D740A"/>
    <w:rsid w:val="002E3FF5"/>
    <w:rsid w:val="002E4480"/>
    <w:rsid w:val="002E7AF3"/>
    <w:rsid w:val="002E7D1C"/>
    <w:rsid w:val="002F0A2C"/>
    <w:rsid w:val="002F369D"/>
    <w:rsid w:val="002F3CAB"/>
    <w:rsid w:val="0030112A"/>
    <w:rsid w:val="003030E2"/>
    <w:rsid w:val="0030578D"/>
    <w:rsid w:val="003079C4"/>
    <w:rsid w:val="00307FA3"/>
    <w:rsid w:val="00310996"/>
    <w:rsid w:val="00312890"/>
    <w:rsid w:val="00315195"/>
    <w:rsid w:val="00316A04"/>
    <w:rsid w:val="00321033"/>
    <w:rsid w:val="00324E03"/>
    <w:rsid w:val="00326F5C"/>
    <w:rsid w:val="003278D3"/>
    <w:rsid w:val="00327BD4"/>
    <w:rsid w:val="00333E37"/>
    <w:rsid w:val="00334FF7"/>
    <w:rsid w:val="00341CCE"/>
    <w:rsid w:val="00346713"/>
    <w:rsid w:val="00350D00"/>
    <w:rsid w:val="00352685"/>
    <w:rsid w:val="00352693"/>
    <w:rsid w:val="00353FDB"/>
    <w:rsid w:val="003547B6"/>
    <w:rsid w:val="0035502E"/>
    <w:rsid w:val="00357AAA"/>
    <w:rsid w:val="00360B02"/>
    <w:rsid w:val="00361CC0"/>
    <w:rsid w:val="003650C7"/>
    <w:rsid w:val="00367D89"/>
    <w:rsid w:val="003713B5"/>
    <w:rsid w:val="00371FC9"/>
    <w:rsid w:val="0037345C"/>
    <w:rsid w:val="003750F5"/>
    <w:rsid w:val="00375E2E"/>
    <w:rsid w:val="003806AC"/>
    <w:rsid w:val="00380A2D"/>
    <w:rsid w:val="0038292B"/>
    <w:rsid w:val="00383E81"/>
    <w:rsid w:val="003863AA"/>
    <w:rsid w:val="003904E8"/>
    <w:rsid w:val="00391BB8"/>
    <w:rsid w:val="0039460B"/>
    <w:rsid w:val="0039523B"/>
    <w:rsid w:val="00396D66"/>
    <w:rsid w:val="00397EA8"/>
    <w:rsid w:val="003A1295"/>
    <w:rsid w:val="003A13AC"/>
    <w:rsid w:val="003A24DF"/>
    <w:rsid w:val="003A26C5"/>
    <w:rsid w:val="003A6644"/>
    <w:rsid w:val="003C0FA4"/>
    <w:rsid w:val="003C2173"/>
    <w:rsid w:val="003C2DEE"/>
    <w:rsid w:val="003C3117"/>
    <w:rsid w:val="003C50E1"/>
    <w:rsid w:val="003C7BC9"/>
    <w:rsid w:val="003C7E2A"/>
    <w:rsid w:val="003D1123"/>
    <w:rsid w:val="003D4D1A"/>
    <w:rsid w:val="003D6997"/>
    <w:rsid w:val="003E0A1A"/>
    <w:rsid w:val="003E5632"/>
    <w:rsid w:val="003E6164"/>
    <w:rsid w:val="003E7E7F"/>
    <w:rsid w:val="003F33B8"/>
    <w:rsid w:val="003F3687"/>
    <w:rsid w:val="003F3D6F"/>
    <w:rsid w:val="003F473A"/>
    <w:rsid w:val="003F660F"/>
    <w:rsid w:val="003F688B"/>
    <w:rsid w:val="00400B92"/>
    <w:rsid w:val="00402A91"/>
    <w:rsid w:val="0040315D"/>
    <w:rsid w:val="004032DB"/>
    <w:rsid w:val="0040406F"/>
    <w:rsid w:val="004215C3"/>
    <w:rsid w:val="00422734"/>
    <w:rsid w:val="00424902"/>
    <w:rsid w:val="00425430"/>
    <w:rsid w:val="004265D9"/>
    <w:rsid w:val="00431849"/>
    <w:rsid w:val="00432D65"/>
    <w:rsid w:val="00433320"/>
    <w:rsid w:val="00433BE6"/>
    <w:rsid w:val="0043479A"/>
    <w:rsid w:val="00434822"/>
    <w:rsid w:val="004349F2"/>
    <w:rsid w:val="00435F52"/>
    <w:rsid w:val="00436ED8"/>
    <w:rsid w:val="004374F2"/>
    <w:rsid w:val="00440957"/>
    <w:rsid w:val="00443AFF"/>
    <w:rsid w:val="004443D4"/>
    <w:rsid w:val="00444407"/>
    <w:rsid w:val="00444AE8"/>
    <w:rsid w:val="00444EC6"/>
    <w:rsid w:val="004518F6"/>
    <w:rsid w:val="00452891"/>
    <w:rsid w:val="004530E8"/>
    <w:rsid w:val="00453713"/>
    <w:rsid w:val="004541F2"/>
    <w:rsid w:val="00455891"/>
    <w:rsid w:val="00455E94"/>
    <w:rsid w:val="00457FC0"/>
    <w:rsid w:val="00463262"/>
    <w:rsid w:val="00464AAB"/>
    <w:rsid w:val="00467991"/>
    <w:rsid w:val="00467AF0"/>
    <w:rsid w:val="00473151"/>
    <w:rsid w:val="004743B4"/>
    <w:rsid w:val="0047636D"/>
    <w:rsid w:val="00476600"/>
    <w:rsid w:val="0048208F"/>
    <w:rsid w:val="004865C2"/>
    <w:rsid w:val="00487266"/>
    <w:rsid w:val="004930DC"/>
    <w:rsid w:val="00493624"/>
    <w:rsid w:val="00493EC4"/>
    <w:rsid w:val="00494ADA"/>
    <w:rsid w:val="00494C9C"/>
    <w:rsid w:val="00494ED4"/>
    <w:rsid w:val="00495A8B"/>
    <w:rsid w:val="00495ABE"/>
    <w:rsid w:val="00496093"/>
    <w:rsid w:val="004A0266"/>
    <w:rsid w:val="004A19AB"/>
    <w:rsid w:val="004A4620"/>
    <w:rsid w:val="004A67FB"/>
    <w:rsid w:val="004B75E0"/>
    <w:rsid w:val="004C066D"/>
    <w:rsid w:val="004C2A6B"/>
    <w:rsid w:val="004C3D02"/>
    <w:rsid w:val="004C7E54"/>
    <w:rsid w:val="004D1372"/>
    <w:rsid w:val="004D2475"/>
    <w:rsid w:val="004D791D"/>
    <w:rsid w:val="004E6474"/>
    <w:rsid w:val="004E7ADA"/>
    <w:rsid w:val="004F0B43"/>
    <w:rsid w:val="004F6E85"/>
    <w:rsid w:val="00505A13"/>
    <w:rsid w:val="0050645A"/>
    <w:rsid w:val="00507AAD"/>
    <w:rsid w:val="00511526"/>
    <w:rsid w:val="00516564"/>
    <w:rsid w:val="00520837"/>
    <w:rsid w:val="005213D1"/>
    <w:rsid w:val="0052175E"/>
    <w:rsid w:val="0052251B"/>
    <w:rsid w:val="00525369"/>
    <w:rsid w:val="00525599"/>
    <w:rsid w:val="005330F8"/>
    <w:rsid w:val="005340CA"/>
    <w:rsid w:val="00537080"/>
    <w:rsid w:val="00537357"/>
    <w:rsid w:val="0053799F"/>
    <w:rsid w:val="00544BDB"/>
    <w:rsid w:val="00545B90"/>
    <w:rsid w:val="005470D4"/>
    <w:rsid w:val="00551B27"/>
    <w:rsid w:val="00551EA6"/>
    <w:rsid w:val="00552833"/>
    <w:rsid w:val="00552923"/>
    <w:rsid w:val="00552B43"/>
    <w:rsid w:val="0055556D"/>
    <w:rsid w:val="00557C2D"/>
    <w:rsid w:val="00557FAF"/>
    <w:rsid w:val="0056111C"/>
    <w:rsid w:val="00564F6C"/>
    <w:rsid w:val="00565610"/>
    <w:rsid w:val="00573028"/>
    <w:rsid w:val="0057315F"/>
    <w:rsid w:val="005805CA"/>
    <w:rsid w:val="00581522"/>
    <w:rsid w:val="00582031"/>
    <w:rsid w:val="00582F79"/>
    <w:rsid w:val="00582FB2"/>
    <w:rsid w:val="0058552A"/>
    <w:rsid w:val="00586978"/>
    <w:rsid w:val="00590B12"/>
    <w:rsid w:val="005926C0"/>
    <w:rsid w:val="005967EF"/>
    <w:rsid w:val="005A32EB"/>
    <w:rsid w:val="005A4A9E"/>
    <w:rsid w:val="005A7147"/>
    <w:rsid w:val="005B0532"/>
    <w:rsid w:val="005B1A91"/>
    <w:rsid w:val="005B3BD1"/>
    <w:rsid w:val="005B462B"/>
    <w:rsid w:val="005B5116"/>
    <w:rsid w:val="005B6AC1"/>
    <w:rsid w:val="005B6E01"/>
    <w:rsid w:val="005B727D"/>
    <w:rsid w:val="005B76F6"/>
    <w:rsid w:val="005B7E69"/>
    <w:rsid w:val="005C3773"/>
    <w:rsid w:val="005C4CD8"/>
    <w:rsid w:val="005C4F0B"/>
    <w:rsid w:val="005C51B8"/>
    <w:rsid w:val="005C79B1"/>
    <w:rsid w:val="005C7E63"/>
    <w:rsid w:val="005D00A4"/>
    <w:rsid w:val="005D3D79"/>
    <w:rsid w:val="005D4463"/>
    <w:rsid w:val="005D452A"/>
    <w:rsid w:val="005D5789"/>
    <w:rsid w:val="005D5895"/>
    <w:rsid w:val="005D673A"/>
    <w:rsid w:val="005E2F8B"/>
    <w:rsid w:val="005E50B3"/>
    <w:rsid w:val="005E5F54"/>
    <w:rsid w:val="005E6855"/>
    <w:rsid w:val="005E724B"/>
    <w:rsid w:val="005F3C59"/>
    <w:rsid w:val="005F403E"/>
    <w:rsid w:val="005F4EAF"/>
    <w:rsid w:val="005F73B9"/>
    <w:rsid w:val="005F76C9"/>
    <w:rsid w:val="0060130A"/>
    <w:rsid w:val="00601423"/>
    <w:rsid w:val="00602756"/>
    <w:rsid w:val="0060490C"/>
    <w:rsid w:val="0060539B"/>
    <w:rsid w:val="00606619"/>
    <w:rsid w:val="00607D3F"/>
    <w:rsid w:val="00610E45"/>
    <w:rsid w:val="00611369"/>
    <w:rsid w:val="006115E0"/>
    <w:rsid w:val="00612CC3"/>
    <w:rsid w:val="00617F3B"/>
    <w:rsid w:val="00621AB4"/>
    <w:rsid w:val="00623F8C"/>
    <w:rsid w:val="00624E49"/>
    <w:rsid w:val="00626891"/>
    <w:rsid w:val="00626B17"/>
    <w:rsid w:val="006300FF"/>
    <w:rsid w:val="00632C9B"/>
    <w:rsid w:val="00633418"/>
    <w:rsid w:val="00637186"/>
    <w:rsid w:val="00641414"/>
    <w:rsid w:val="0064154C"/>
    <w:rsid w:val="006415C3"/>
    <w:rsid w:val="006416EC"/>
    <w:rsid w:val="00641BE9"/>
    <w:rsid w:val="00647567"/>
    <w:rsid w:val="006479D8"/>
    <w:rsid w:val="006539A8"/>
    <w:rsid w:val="006541A0"/>
    <w:rsid w:val="00655A75"/>
    <w:rsid w:val="00655D81"/>
    <w:rsid w:val="00656798"/>
    <w:rsid w:val="006638EF"/>
    <w:rsid w:val="00664B96"/>
    <w:rsid w:val="00667575"/>
    <w:rsid w:val="00667D9D"/>
    <w:rsid w:val="00673DEC"/>
    <w:rsid w:val="00674B0D"/>
    <w:rsid w:val="00674D24"/>
    <w:rsid w:val="00677C5A"/>
    <w:rsid w:val="00680EB9"/>
    <w:rsid w:val="00684F5B"/>
    <w:rsid w:val="00685D6C"/>
    <w:rsid w:val="0068618B"/>
    <w:rsid w:val="00686BB6"/>
    <w:rsid w:val="00687F2C"/>
    <w:rsid w:val="0069136C"/>
    <w:rsid w:val="00691C9B"/>
    <w:rsid w:val="006921D7"/>
    <w:rsid w:val="00693CF7"/>
    <w:rsid w:val="0069402C"/>
    <w:rsid w:val="006A1651"/>
    <w:rsid w:val="006A166D"/>
    <w:rsid w:val="006A5660"/>
    <w:rsid w:val="006A7E17"/>
    <w:rsid w:val="006B0431"/>
    <w:rsid w:val="006B0C79"/>
    <w:rsid w:val="006B101A"/>
    <w:rsid w:val="006B12BB"/>
    <w:rsid w:val="006B2184"/>
    <w:rsid w:val="006B308B"/>
    <w:rsid w:val="006B34F0"/>
    <w:rsid w:val="006B5917"/>
    <w:rsid w:val="006B608A"/>
    <w:rsid w:val="006C006F"/>
    <w:rsid w:val="006C0D2D"/>
    <w:rsid w:val="006C558E"/>
    <w:rsid w:val="006C629A"/>
    <w:rsid w:val="006D2F08"/>
    <w:rsid w:val="006D554D"/>
    <w:rsid w:val="006D5598"/>
    <w:rsid w:val="006D78E8"/>
    <w:rsid w:val="006D7919"/>
    <w:rsid w:val="006E1022"/>
    <w:rsid w:val="006E2CB3"/>
    <w:rsid w:val="006E3536"/>
    <w:rsid w:val="006E4006"/>
    <w:rsid w:val="006E7F3C"/>
    <w:rsid w:val="006F0A6F"/>
    <w:rsid w:val="006F24A7"/>
    <w:rsid w:val="006F2ECA"/>
    <w:rsid w:val="006F3E46"/>
    <w:rsid w:val="006F3FA2"/>
    <w:rsid w:val="006F551A"/>
    <w:rsid w:val="006F640B"/>
    <w:rsid w:val="006F66BB"/>
    <w:rsid w:val="00701F44"/>
    <w:rsid w:val="0070398D"/>
    <w:rsid w:val="0070407A"/>
    <w:rsid w:val="00705E22"/>
    <w:rsid w:val="007061B9"/>
    <w:rsid w:val="0070741A"/>
    <w:rsid w:val="00707600"/>
    <w:rsid w:val="00711881"/>
    <w:rsid w:val="00715E5D"/>
    <w:rsid w:val="007215FB"/>
    <w:rsid w:val="00722DDC"/>
    <w:rsid w:val="00726817"/>
    <w:rsid w:val="00730470"/>
    <w:rsid w:val="007329C0"/>
    <w:rsid w:val="00733FA1"/>
    <w:rsid w:val="007354BF"/>
    <w:rsid w:val="007362F2"/>
    <w:rsid w:val="00745555"/>
    <w:rsid w:val="00745DCF"/>
    <w:rsid w:val="0074631C"/>
    <w:rsid w:val="00750A4B"/>
    <w:rsid w:val="0075437B"/>
    <w:rsid w:val="007544DD"/>
    <w:rsid w:val="00754F21"/>
    <w:rsid w:val="0075602F"/>
    <w:rsid w:val="00756A70"/>
    <w:rsid w:val="007634E7"/>
    <w:rsid w:val="007652FC"/>
    <w:rsid w:val="00765C1B"/>
    <w:rsid w:val="00766F5C"/>
    <w:rsid w:val="00767D7B"/>
    <w:rsid w:val="0077029F"/>
    <w:rsid w:val="00771865"/>
    <w:rsid w:val="00771CAE"/>
    <w:rsid w:val="0077251F"/>
    <w:rsid w:val="007776C8"/>
    <w:rsid w:val="00780EE2"/>
    <w:rsid w:val="00780FD6"/>
    <w:rsid w:val="00781321"/>
    <w:rsid w:val="0078289F"/>
    <w:rsid w:val="00783280"/>
    <w:rsid w:val="00783D7C"/>
    <w:rsid w:val="00783E76"/>
    <w:rsid w:val="007873EC"/>
    <w:rsid w:val="00791706"/>
    <w:rsid w:val="00794ABE"/>
    <w:rsid w:val="007953A7"/>
    <w:rsid w:val="00796EB1"/>
    <w:rsid w:val="007A03A1"/>
    <w:rsid w:val="007A2BF8"/>
    <w:rsid w:val="007A3976"/>
    <w:rsid w:val="007A488C"/>
    <w:rsid w:val="007A53B8"/>
    <w:rsid w:val="007A7E27"/>
    <w:rsid w:val="007B03FC"/>
    <w:rsid w:val="007B09D6"/>
    <w:rsid w:val="007B4E3E"/>
    <w:rsid w:val="007B54A1"/>
    <w:rsid w:val="007B5B77"/>
    <w:rsid w:val="007C1918"/>
    <w:rsid w:val="007C40A0"/>
    <w:rsid w:val="007C4B55"/>
    <w:rsid w:val="007C5A21"/>
    <w:rsid w:val="007C62EE"/>
    <w:rsid w:val="007D3773"/>
    <w:rsid w:val="007D3FA5"/>
    <w:rsid w:val="007D41EE"/>
    <w:rsid w:val="007D4D0E"/>
    <w:rsid w:val="007D64C9"/>
    <w:rsid w:val="007D7BE1"/>
    <w:rsid w:val="007E1867"/>
    <w:rsid w:val="007E1FC7"/>
    <w:rsid w:val="007E304E"/>
    <w:rsid w:val="007E5FA3"/>
    <w:rsid w:val="007E6A6C"/>
    <w:rsid w:val="007F3125"/>
    <w:rsid w:val="007F3B8F"/>
    <w:rsid w:val="007F496F"/>
    <w:rsid w:val="007F4B21"/>
    <w:rsid w:val="007F5677"/>
    <w:rsid w:val="007F5937"/>
    <w:rsid w:val="007F765C"/>
    <w:rsid w:val="00801BCD"/>
    <w:rsid w:val="0080430F"/>
    <w:rsid w:val="0080672F"/>
    <w:rsid w:val="0081097E"/>
    <w:rsid w:val="00811DB3"/>
    <w:rsid w:val="008124F3"/>
    <w:rsid w:val="00813BC0"/>
    <w:rsid w:val="008203DE"/>
    <w:rsid w:val="00820FFF"/>
    <w:rsid w:val="00821C05"/>
    <w:rsid w:val="00822597"/>
    <w:rsid w:val="0082350C"/>
    <w:rsid w:val="00823A5D"/>
    <w:rsid w:val="008262F5"/>
    <w:rsid w:val="00826EDB"/>
    <w:rsid w:val="00830DC7"/>
    <w:rsid w:val="00831D38"/>
    <w:rsid w:val="00832A58"/>
    <w:rsid w:val="008336C5"/>
    <w:rsid w:val="00834636"/>
    <w:rsid w:val="00835FA6"/>
    <w:rsid w:val="00837E6C"/>
    <w:rsid w:val="00840E15"/>
    <w:rsid w:val="00843703"/>
    <w:rsid w:val="00845507"/>
    <w:rsid w:val="00846334"/>
    <w:rsid w:val="00851673"/>
    <w:rsid w:val="008531B5"/>
    <w:rsid w:val="00853794"/>
    <w:rsid w:val="00857193"/>
    <w:rsid w:val="008579CA"/>
    <w:rsid w:val="00857FEA"/>
    <w:rsid w:val="00860F32"/>
    <w:rsid w:val="0086602A"/>
    <w:rsid w:val="00870995"/>
    <w:rsid w:val="00872E92"/>
    <w:rsid w:val="0087352D"/>
    <w:rsid w:val="00873B24"/>
    <w:rsid w:val="008746AD"/>
    <w:rsid w:val="00875E9F"/>
    <w:rsid w:val="00883B2D"/>
    <w:rsid w:val="0088449D"/>
    <w:rsid w:val="00885ACF"/>
    <w:rsid w:val="00891666"/>
    <w:rsid w:val="00891C9D"/>
    <w:rsid w:val="00893488"/>
    <w:rsid w:val="00895A2F"/>
    <w:rsid w:val="008A0AB7"/>
    <w:rsid w:val="008A0EEB"/>
    <w:rsid w:val="008A214C"/>
    <w:rsid w:val="008A4BEF"/>
    <w:rsid w:val="008A55F3"/>
    <w:rsid w:val="008B1F01"/>
    <w:rsid w:val="008B2426"/>
    <w:rsid w:val="008B46D3"/>
    <w:rsid w:val="008B4C25"/>
    <w:rsid w:val="008B56AE"/>
    <w:rsid w:val="008B6D7D"/>
    <w:rsid w:val="008B7299"/>
    <w:rsid w:val="008C2124"/>
    <w:rsid w:val="008C2CDE"/>
    <w:rsid w:val="008C35A5"/>
    <w:rsid w:val="008C4EA7"/>
    <w:rsid w:val="008D0302"/>
    <w:rsid w:val="008D1084"/>
    <w:rsid w:val="008D125C"/>
    <w:rsid w:val="008D16AA"/>
    <w:rsid w:val="008D16B9"/>
    <w:rsid w:val="008D35EA"/>
    <w:rsid w:val="008D3F4A"/>
    <w:rsid w:val="008D46E7"/>
    <w:rsid w:val="008D619E"/>
    <w:rsid w:val="008E0479"/>
    <w:rsid w:val="008E10C3"/>
    <w:rsid w:val="008E2644"/>
    <w:rsid w:val="008E3702"/>
    <w:rsid w:val="008F0F89"/>
    <w:rsid w:val="008F3ADF"/>
    <w:rsid w:val="008F5B0F"/>
    <w:rsid w:val="009012E1"/>
    <w:rsid w:val="00901574"/>
    <w:rsid w:val="00901B1A"/>
    <w:rsid w:val="00901BC3"/>
    <w:rsid w:val="0090300E"/>
    <w:rsid w:val="00903160"/>
    <w:rsid w:val="00905614"/>
    <w:rsid w:val="0091008B"/>
    <w:rsid w:val="0091665D"/>
    <w:rsid w:val="009217DA"/>
    <w:rsid w:val="00922008"/>
    <w:rsid w:val="00923C85"/>
    <w:rsid w:val="009246CA"/>
    <w:rsid w:val="009250A3"/>
    <w:rsid w:val="00927AD8"/>
    <w:rsid w:val="00931B62"/>
    <w:rsid w:val="00931DD8"/>
    <w:rsid w:val="00934C95"/>
    <w:rsid w:val="00936FA6"/>
    <w:rsid w:val="00937213"/>
    <w:rsid w:val="0093748A"/>
    <w:rsid w:val="0094052D"/>
    <w:rsid w:val="00941124"/>
    <w:rsid w:val="009413E2"/>
    <w:rsid w:val="009416B0"/>
    <w:rsid w:val="00943BFE"/>
    <w:rsid w:val="009441E0"/>
    <w:rsid w:val="00944BB1"/>
    <w:rsid w:val="00950EA3"/>
    <w:rsid w:val="009510B4"/>
    <w:rsid w:val="0095452D"/>
    <w:rsid w:val="00955718"/>
    <w:rsid w:val="009557DC"/>
    <w:rsid w:val="00955C73"/>
    <w:rsid w:val="0096311D"/>
    <w:rsid w:val="0096395C"/>
    <w:rsid w:val="009648E1"/>
    <w:rsid w:val="009655B4"/>
    <w:rsid w:val="00967745"/>
    <w:rsid w:val="009703DB"/>
    <w:rsid w:val="00971C1F"/>
    <w:rsid w:val="00972C9D"/>
    <w:rsid w:val="0097393F"/>
    <w:rsid w:val="00980192"/>
    <w:rsid w:val="00981308"/>
    <w:rsid w:val="00984C37"/>
    <w:rsid w:val="00987FF2"/>
    <w:rsid w:val="00993959"/>
    <w:rsid w:val="0099663D"/>
    <w:rsid w:val="0099792E"/>
    <w:rsid w:val="009A28B4"/>
    <w:rsid w:val="009A2FDC"/>
    <w:rsid w:val="009A37AE"/>
    <w:rsid w:val="009A3A24"/>
    <w:rsid w:val="009A6DEE"/>
    <w:rsid w:val="009A7019"/>
    <w:rsid w:val="009B2F9B"/>
    <w:rsid w:val="009B3D0E"/>
    <w:rsid w:val="009B57DF"/>
    <w:rsid w:val="009C0D7D"/>
    <w:rsid w:val="009C4811"/>
    <w:rsid w:val="009D1081"/>
    <w:rsid w:val="009D3291"/>
    <w:rsid w:val="009D747E"/>
    <w:rsid w:val="009E077F"/>
    <w:rsid w:val="009E14B9"/>
    <w:rsid w:val="009E1C1F"/>
    <w:rsid w:val="009E3255"/>
    <w:rsid w:val="009E6053"/>
    <w:rsid w:val="009E7A36"/>
    <w:rsid w:val="009F1221"/>
    <w:rsid w:val="009F1C34"/>
    <w:rsid w:val="009F250A"/>
    <w:rsid w:val="009F339C"/>
    <w:rsid w:val="009F3659"/>
    <w:rsid w:val="009F51C8"/>
    <w:rsid w:val="009F5AAA"/>
    <w:rsid w:val="00A00FC9"/>
    <w:rsid w:val="00A028E6"/>
    <w:rsid w:val="00A03C82"/>
    <w:rsid w:val="00A052E7"/>
    <w:rsid w:val="00A10A16"/>
    <w:rsid w:val="00A114CC"/>
    <w:rsid w:val="00A13D02"/>
    <w:rsid w:val="00A144FB"/>
    <w:rsid w:val="00A16717"/>
    <w:rsid w:val="00A16DCD"/>
    <w:rsid w:val="00A173D0"/>
    <w:rsid w:val="00A22F09"/>
    <w:rsid w:val="00A23891"/>
    <w:rsid w:val="00A24BE3"/>
    <w:rsid w:val="00A24E93"/>
    <w:rsid w:val="00A2602E"/>
    <w:rsid w:val="00A33AC1"/>
    <w:rsid w:val="00A33D54"/>
    <w:rsid w:val="00A41263"/>
    <w:rsid w:val="00A42DDE"/>
    <w:rsid w:val="00A45A9C"/>
    <w:rsid w:val="00A45BB3"/>
    <w:rsid w:val="00A50D65"/>
    <w:rsid w:val="00A52901"/>
    <w:rsid w:val="00A53401"/>
    <w:rsid w:val="00A53883"/>
    <w:rsid w:val="00A56764"/>
    <w:rsid w:val="00A575D1"/>
    <w:rsid w:val="00A57F36"/>
    <w:rsid w:val="00A60F61"/>
    <w:rsid w:val="00A631F9"/>
    <w:rsid w:val="00A66C18"/>
    <w:rsid w:val="00A74249"/>
    <w:rsid w:val="00A7582B"/>
    <w:rsid w:val="00A75AC8"/>
    <w:rsid w:val="00A75E97"/>
    <w:rsid w:val="00A76C34"/>
    <w:rsid w:val="00A8569F"/>
    <w:rsid w:val="00A908CC"/>
    <w:rsid w:val="00A9587D"/>
    <w:rsid w:val="00A97CB7"/>
    <w:rsid w:val="00AA1568"/>
    <w:rsid w:val="00AA174C"/>
    <w:rsid w:val="00AA3BE1"/>
    <w:rsid w:val="00AB2AC6"/>
    <w:rsid w:val="00AB3ACB"/>
    <w:rsid w:val="00AB54BD"/>
    <w:rsid w:val="00AB7FDE"/>
    <w:rsid w:val="00AC26AD"/>
    <w:rsid w:val="00AC40D1"/>
    <w:rsid w:val="00AC4BF6"/>
    <w:rsid w:val="00AD109E"/>
    <w:rsid w:val="00AD11A0"/>
    <w:rsid w:val="00AD1750"/>
    <w:rsid w:val="00AD20C5"/>
    <w:rsid w:val="00AD2D2D"/>
    <w:rsid w:val="00AD439B"/>
    <w:rsid w:val="00AE1775"/>
    <w:rsid w:val="00AE212E"/>
    <w:rsid w:val="00AE2E93"/>
    <w:rsid w:val="00AE5447"/>
    <w:rsid w:val="00AE54C1"/>
    <w:rsid w:val="00AE668E"/>
    <w:rsid w:val="00AE7CA1"/>
    <w:rsid w:val="00AF132F"/>
    <w:rsid w:val="00AF1F30"/>
    <w:rsid w:val="00AF6560"/>
    <w:rsid w:val="00B012AC"/>
    <w:rsid w:val="00B03C1B"/>
    <w:rsid w:val="00B05AAC"/>
    <w:rsid w:val="00B13078"/>
    <w:rsid w:val="00B13EF2"/>
    <w:rsid w:val="00B174F5"/>
    <w:rsid w:val="00B20E8C"/>
    <w:rsid w:val="00B21DA3"/>
    <w:rsid w:val="00B23301"/>
    <w:rsid w:val="00B24E9F"/>
    <w:rsid w:val="00B25FAE"/>
    <w:rsid w:val="00B2610C"/>
    <w:rsid w:val="00B2619B"/>
    <w:rsid w:val="00B26817"/>
    <w:rsid w:val="00B30174"/>
    <w:rsid w:val="00B303F6"/>
    <w:rsid w:val="00B30A83"/>
    <w:rsid w:val="00B3182D"/>
    <w:rsid w:val="00B35FAD"/>
    <w:rsid w:val="00B36A04"/>
    <w:rsid w:val="00B37951"/>
    <w:rsid w:val="00B43E04"/>
    <w:rsid w:val="00B44E6E"/>
    <w:rsid w:val="00B45229"/>
    <w:rsid w:val="00B504AA"/>
    <w:rsid w:val="00B505FC"/>
    <w:rsid w:val="00B50F11"/>
    <w:rsid w:val="00B5114D"/>
    <w:rsid w:val="00B537D8"/>
    <w:rsid w:val="00B53B81"/>
    <w:rsid w:val="00B54EAB"/>
    <w:rsid w:val="00B60A50"/>
    <w:rsid w:val="00B61487"/>
    <w:rsid w:val="00B6329D"/>
    <w:rsid w:val="00B642F1"/>
    <w:rsid w:val="00B67038"/>
    <w:rsid w:val="00B67D01"/>
    <w:rsid w:val="00B71AF3"/>
    <w:rsid w:val="00B720E9"/>
    <w:rsid w:val="00B72AED"/>
    <w:rsid w:val="00B73B5D"/>
    <w:rsid w:val="00B7652D"/>
    <w:rsid w:val="00B804DB"/>
    <w:rsid w:val="00B8180F"/>
    <w:rsid w:val="00B82CEB"/>
    <w:rsid w:val="00B83B9B"/>
    <w:rsid w:val="00B863EC"/>
    <w:rsid w:val="00B90DE1"/>
    <w:rsid w:val="00B9117E"/>
    <w:rsid w:val="00B91A0A"/>
    <w:rsid w:val="00B92E4B"/>
    <w:rsid w:val="00B9351E"/>
    <w:rsid w:val="00B94843"/>
    <w:rsid w:val="00B95E85"/>
    <w:rsid w:val="00BA000C"/>
    <w:rsid w:val="00BA0080"/>
    <w:rsid w:val="00BA0204"/>
    <w:rsid w:val="00BA08D4"/>
    <w:rsid w:val="00BA186B"/>
    <w:rsid w:val="00BA2206"/>
    <w:rsid w:val="00BA2EC4"/>
    <w:rsid w:val="00BA3046"/>
    <w:rsid w:val="00BA320E"/>
    <w:rsid w:val="00BA32FC"/>
    <w:rsid w:val="00BA3589"/>
    <w:rsid w:val="00BA6B21"/>
    <w:rsid w:val="00BB7067"/>
    <w:rsid w:val="00BC0A44"/>
    <w:rsid w:val="00BC2186"/>
    <w:rsid w:val="00BC23E3"/>
    <w:rsid w:val="00BC42FB"/>
    <w:rsid w:val="00BC6733"/>
    <w:rsid w:val="00BD02D5"/>
    <w:rsid w:val="00BD0BE6"/>
    <w:rsid w:val="00BD2838"/>
    <w:rsid w:val="00BD3F71"/>
    <w:rsid w:val="00BD4217"/>
    <w:rsid w:val="00BD4779"/>
    <w:rsid w:val="00BD5D0A"/>
    <w:rsid w:val="00BD63AB"/>
    <w:rsid w:val="00BD707E"/>
    <w:rsid w:val="00BE528D"/>
    <w:rsid w:val="00BE7AC2"/>
    <w:rsid w:val="00BF1D11"/>
    <w:rsid w:val="00BF419A"/>
    <w:rsid w:val="00BF4F4F"/>
    <w:rsid w:val="00BF59E6"/>
    <w:rsid w:val="00C00129"/>
    <w:rsid w:val="00C001A9"/>
    <w:rsid w:val="00C01644"/>
    <w:rsid w:val="00C028F7"/>
    <w:rsid w:val="00C05564"/>
    <w:rsid w:val="00C06962"/>
    <w:rsid w:val="00C06E54"/>
    <w:rsid w:val="00C100B0"/>
    <w:rsid w:val="00C1066D"/>
    <w:rsid w:val="00C13CF5"/>
    <w:rsid w:val="00C13F5A"/>
    <w:rsid w:val="00C16857"/>
    <w:rsid w:val="00C21FB9"/>
    <w:rsid w:val="00C25D8C"/>
    <w:rsid w:val="00C26311"/>
    <w:rsid w:val="00C27004"/>
    <w:rsid w:val="00C3113B"/>
    <w:rsid w:val="00C322F3"/>
    <w:rsid w:val="00C410E9"/>
    <w:rsid w:val="00C41789"/>
    <w:rsid w:val="00C434C6"/>
    <w:rsid w:val="00C466B7"/>
    <w:rsid w:val="00C50E00"/>
    <w:rsid w:val="00C52B10"/>
    <w:rsid w:val="00C53B9C"/>
    <w:rsid w:val="00C62B86"/>
    <w:rsid w:val="00C6344A"/>
    <w:rsid w:val="00C64AF7"/>
    <w:rsid w:val="00C66330"/>
    <w:rsid w:val="00C703D1"/>
    <w:rsid w:val="00C73B56"/>
    <w:rsid w:val="00C75D2B"/>
    <w:rsid w:val="00C772DE"/>
    <w:rsid w:val="00C83324"/>
    <w:rsid w:val="00C85D8F"/>
    <w:rsid w:val="00C868BC"/>
    <w:rsid w:val="00C92748"/>
    <w:rsid w:val="00C936F5"/>
    <w:rsid w:val="00C9615F"/>
    <w:rsid w:val="00C966FC"/>
    <w:rsid w:val="00C96771"/>
    <w:rsid w:val="00CA4E85"/>
    <w:rsid w:val="00CA70DD"/>
    <w:rsid w:val="00CA7158"/>
    <w:rsid w:val="00CB0755"/>
    <w:rsid w:val="00CB0ECC"/>
    <w:rsid w:val="00CB4A48"/>
    <w:rsid w:val="00CB5837"/>
    <w:rsid w:val="00CB6694"/>
    <w:rsid w:val="00CB6B0C"/>
    <w:rsid w:val="00CC4AC5"/>
    <w:rsid w:val="00CC6E6B"/>
    <w:rsid w:val="00CD3331"/>
    <w:rsid w:val="00CD3FEA"/>
    <w:rsid w:val="00CD4EEE"/>
    <w:rsid w:val="00CE0BA7"/>
    <w:rsid w:val="00CE21A8"/>
    <w:rsid w:val="00CE223E"/>
    <w:rsid w:val="00CE7977"/>
    <w:rsid w:val="00CF0457"/>
    <w:rsid w:val="00CF0908"/>
    <w:rsid w:val="00CF0BC8"/>
    <w:rsid w:val="00CF5BD2"/>
    <w:rsid w:val="00D00EE5"/>
    <w:rsid w:val="00D01C1D"/>
    <w:rsid w:val="00D034F7"/>
    <w:rsid w:val="00D03E98"/>
    <w:rsid w:val="00D11700"/>
    <w:rsid w:val="00D12C06"/>
    <w:rsid w:val="00D14DD0"/>
    <w:rsid w:val="00D15F3F"/>
    <w:rsid w:val="00D20D91"/>
    <w:rsid w:val="00D24F04"/>
    <w:rsid w:val="00D27A38"/>
    <w:rsid w:val="00D27CCC"/>
    <w:rsid w:val="00D30A50"/>
    <w:rsid w:val="00D319FC"/>
    <w:rsid w:val="00D332AC"/>
    <w:rsid w:val="00D33703"/>
    <w:rsid w:val="00D36E15"/>
    <w:rsid w:val="00D412FA"/>
    <w:rsid w:val="00D472DD"/>
    <w:rsid w:val="00D5242C"/>
    <w:rsid w:val="00D547F4"/>
    <w:rsid w:val="00D56F02"/>
    <w:rsid w:val="00D6561A"/>
    <w:rsid w:val="00D70FEA"/>
    <w:rsid w:val="00D712B3"/>
    <w:rsid w:val="00D721A5"/>
    <w:rsid w:val="00D7387E"/>
    <w:rsid w:val="00D7597E"/>
    <w:rsid w:val="00D81303"/>
    <w:rsid w:val="00D827FB"/>
    <w:rsid w:val="00D9150F"/>
    <w:rsid w:val="00D93D2F"/>
    <w:rsid w:val="00D94569"/>
    <w:rsid w:val="00D9560B"/>
    <w:rsid w:val="00DA3BAA"/>
    <w:rsid w:val="00DB079F"/>
    <w:rsid w:val="00DB19C2"/>
    <w:rsid w:val="00DB501E"/>
    <w:rsid w:val="00DB7066"/>
    <w:rsid w:val="00DB7B49"/>
    <w:rsid w:val="00DC04C9"/>
    <w:rsid w:val="00DC5DA2"/>
    <w:rsid w:val="00DD34C5"/>
    <w:rsid w:val="00DD351E"/>
    <w:rsid w:val="00DD3974"/>
    <w:rsid w:val="00DD3FD2"/>
    <w:rsid w:val="00DD460C"/>
    <w:rsid w:val="00DD604B"/>
    <w:rsid w:val="00DE011B"/>
    <w:rsid w:val="00DE1867"/>
    <w:rsid w:val="00DE18B1"/>
    <w:rsid w:val="00DE19A7"/>
    <w:rsid w:val="00DE2857"/>
    <w:rsid w:val="00DE3909"/>
    <w:rsid w:val="00DE4D67"/>
    <w:rsid w:val="00DF0A0E"/>
    <w:rsid w:val="00DF2A18"/>
    <w:rsid w:val="00DF30AD"/>
    <w:rsid w:val="00DF46B8"/>
    <w:rsid w:val="00DF5C0E"/>
    <w:rsid w:val="00DF6006"/>
    <w:rsid w:val="00E00908"/>
    <w:rsid w:val="00E00CF0"/>
    <w:rsid w:val="00E00DDB"/>
    <w:rsid w:val="00E05783"/>
    <w:rsid w:val="00E05A53"/>
    <w:rsid w:val="00E068A7"/>
    <w:rsid w:val="00E06903"/>
    <w:rsid w:val="00E1040F"/>
    <w:rsid w:val="00E11D12"/>
    <w:rsid w:val="00E12391"/>
    <w:rsid w:val="00E149B0"/>
    <w:rsid w:val="00E1621F"/>
    <w:rsid w:val="00E20C2E"/>
    <w:rsid w:val="00E216A0"/>
    <w:rsid w:val="00E21C7D"/>
    <w:rsid w:val="00E24289"/>
    <w:rsid w:val="00E25DCF"/>
    <w:rsid w:val="00E25F61"/>
    <w:rsid w:val="00E26731"/>
    <w:rsid w:val="00E302B9"/>
    <w:rsid w:val="00E3073F"/>
    <w:rsid w:val="00E32B33"/>
    <w:rsid w:val="00E35175"/>
    <w:rsid w:val="00E4328A"/>
    <w:rsid w:val="00E439A8"/>
    <w:rsid w:val="00E43AA9"/>
    <w:rsid w:val="00E43B81"/>
    <w:rsid w:val="00E4458C"/>
    <w:rsid w:val="00E44CF7"/>
    <w:rsid w:val="00E44D92"/>
    <w:rsid w:val="00E4656E"/>
    <w:rsid w:val="00E54193"/>
    <w:rsid w:val="00E54B9C"/>
    <w:rsid w:val="00E56C31"/>
    <w:rsid w:val="00E60732"/>
    <w:rsid w:val="00E62D78"/>
    <w:rsid w:val="00E758E7"/>
    <w:rsid w:val="00E77491"/>
    <w:rsid w:val="00E80DF9"/>
    <w:rsid w:val="00E8471B"/>
    <w:rsid w:val="00E926B7"/>
    <w:rsid w:val="00E948A3"/>
    <w:rsid w:val="00E97DB3"/>
    <w:rsid w:val="00EA0B91"/>
    <w:rsid w:val="00EA3080"/>
    <w:rsid w:val="00EA46D8"/>
    <w:rsid w:val="00EB1D08"/>
    <w:rsid w:val="00EB3262"/>
    <w:rsid w:val="00EB34CB"/>
    <w:rsid w:val="00EB5819"/>
    <w:rsid w:val="00EB6E54"/>
    <w:rsid w:val="00EC192D"/>
    <w:rsid w:val="00EC27E0"/>
    <w:rsid w:val="00EC2D2A"/>
    <w:rsid w:val="00EC39F7"/>
    <w:rsid w:val="00EC532E"/>
    <w:rsid w:val="00EC5496"/>
    <w:rsid w:val="00EC6869"/>
    <w:rsid w:val="00EC7BC2"/>
    <w:rsid w:val="00ED06E4"/>
    <w:rsid w:val="00ED2DFE"/>
    <w:rsid w:val="00ED34BA"/>
    <w:rsid w:val="00ED3E94"/>
    <w:rsid w:val="00ED4CB0"/>
    <w:rsid w:val="00ED5B1C"/>
    <w:rsid w:val="00ED6BBC"/>
    <w:rsid w:val="00EE5D2F"/>
    <w:rsid w:val="00EF126A"/>
    <w:rsid w:val="00EF3E33"/>
    <w:rsid w:val="00F01473"/>
    <w:rsid w:val="00F03225"/>
    <w:rsid w:val="00F03278"/>
    <w:rsid w:val="00F0363A"/>
    <w:rsid w:val="00F046BC"/>
    <w:rsid w:val="00F1192B"/>
    <w:rsid w:val="00F11E7A"/>
    <w:rsid w:val="00F14854"/>
    <w:rsid w:val="00F166C2"/>
    <w:rsid w:val="00F169B3"/>
    <w:rsid w:val="00F2184A"/>
    <w:rsid w:val="00F21FB0"/>
    <w:rsid w:val="00F23CDA"/>
    <w:rsid w:val="00F24CEC"/>
    <w:rsid w:val="00F24FFF"/>
    <w:rsid w:val="00F25BCE"/>
    <w:rsid w:val="00F27474"/>
    <w:rsid w:val="00F30053"/>
    <w:rsid w:val="00F333C6"/>
    <w:rsid w:val="00F362C3"/>
    <w:rsid w:val="00F400D6"/>
    <w:rsid w:val="00F40FAD"/>
    <w:rsid w:val="00F420D8"/>
    <w:rsid w:val="00F427A3"/>
    <w:rsid w:val="00F43D01"/>
    <w:rsid w:val="00F43D46"/>
    <w:rsid w:val="00F43FBE"/>
    <w:rsid w:val="00F458EB"/>
    <w:rsid w:val="00F45AD8"/>
    <w:rsid w:val="00F51784"/>
    <w:rsid w:val="00F523CD"/>
    <w:rsid w:val="00F532AF"/>
    <w:rsid w:val="00F54296"/>
    <w:rsid w:val="00F603ED"/>
    <w:rsid w:val="00F63C49"/>
    <w:rsid w:val="00F6526F"/>
    <w:rsid w:val="00F66242"/>
    <w:rsid w:val="00F70852"/>
    <w:rsid w:val="00F80355"/>
    <w:rsid w:val="00F83DCD"/>
    <w:rsid w:val="00F843CF"/>
    <w:rsid w:val="00F84DB8"/>
    <w:rsid w:val="00F909CC"/>
    <w:rsid w:val="00F922FC"/>
    <w:rsid w:val="00F935C6"/>
    <w:rsid w:val="00F941D9"/>
    <w:rsid w:val="00F94702"/>
    <w:rsid w:val="00F9660D"/>
    <w:rsid w:val="00F96729"/>
    <w:rsid w:val="00FA28DD"/>
    <w:rsid w:val="00FA2B01"/>
    <w:rsid w:val="00FA71EF"/>
    <w:rsid w:val="00FB064E"/>
    <w:rsid w:val="00FB0D7F"/>
    <w:rsid w:val="00FB1CB6"/>
    <w:rsid w:val="00FB2AC2"/>
    <w:rsid w:val="00FB2AE7"/>
    <w:rsid w:val="00FB4018"/>
    <w:rsid w:val="00FB475F"/>
    <w:rsid w:val="00FB56A5"/>
    <w:rsid w:val="00FB748A"/>
    <w:rsid w:val="00FC0417"/>
    <w:rsid w:val="00FC39C2"/>
    <w:rsid w:val="00FC39F0"/>
    <w:rsid w:val="00FC75DB"/>
    <w:rsid w:val="00FC7E42"/>
    <w:rsid w:val="00FD0272"/>
    <w:rsid w:val="00FD3214"/>
    <w:rsid w:val="00FD34B1"/>
    <w:rsid w:val="00FD3E37"/>
    <w:rsid w:val="00FD5018"/>
    <w:rsid w:val="00FD57AB"/>
    <w:rsid w:val="00FD6705"/>
    <w:rsid w:val="00FD74ED"/>
    <w:rsid w:val="00FE39C7"/>
    <w:rsid w:val="00FE4CB7"/>
    <w:rsid w:val="00FE58CF"/>
    <w:rsid w:val="00FE6E7F"/>
    <w:rsid w:val="00FE7679"/>
    <w:rsid w:val="00FE7C73"/>
    <w:rsid w:val="00FF204C"/>
    <w:rsid w:val="00FF4608"/>
    <w:rsid w:val="00FF484E"/>
    <w:rsid w:val="00FF5080"/>
    <w:rsid w:val="029167E5"/>
    <w:rsid w:val="03B94246"/>
    <w:rsid w:val="03BA2131"/>
    <w:rsid w:val="0624009C"/>
    <w:rsid w:val="070843DF"/>
    <w:rsid w:val="073C7668"/>
    <w:rsid w:val="07F35494"/>
    <w:rsid w:val="085B774C"/>
    <w:rsid w:val="08B915CA"/>
    <w:rsid w:val="08E21B49"/>
    <w:rsid w:val="09331ABF"/>
    <w:rsid w:val="094445B2"/>
    <w:rsid w:val="0A862689"/>
    <w:rsid w:val="0ADC27FC"/>
    <w:rsid w:val="0BAA09FA"/>
    <w:rsid w:val="0C313C59"/>
    <w:rsid w:val="0D576E17"/>
    <w:rsid w:val="0DDA1988"/>
    <w:rsid w:val="0EAD7B7A"/>
    <w:rsid w:val="0F7D437D"/>
    <w:rsid w:val="0FD85A54"/>
    <w:rsid w:val="1001144E"/>
    <w:rsid w:val="106875CB"/>
    <w:rsid w:val="132A0CBC"/>
    <w:rsid w:val="14373B56"/>
    <w:rsid w:val="1628082C"/>
    <w:rsid w:val="163976E4"/>
    <w:rsid w:val="16AA0078"/>
    <w:rsid w:val="16EF1057"/>
    <w:rsid w:val="17A40318"/>
    <w:rsid w:val="17D01213"/>
    <w:rsid w:val="1880614A"/>
    <w:rsid w:val="18895BA5"/>
    <w:rsid w:val="194837C2"/>
    <w:rsid w:val="197310D0"/>
    <w:rsid w:val="19BD0D56"/>
    <w:rsid w:val="1ACD119D"/>
    <w:rsid w:val="1B3C333B"/>
    <w:rsid w:val="1CB4189C"/>
    <w:rsid w:val="1DFC41B1"/>
    <w:rsid w:val="1E9E7183"/>
    <w:rsid w:val="1ECF44C6"/>
    <w:rsid w:val="1F3A5DE3"/>
    <w:rsid w:val="1FA07A57"/>
    <w:rsid w:val="20EB5CF5"/>
    <w:rsid w:val="254259F1"/>
    <w:rsid w:val="2BC817F9"/>
    <w:rsid w:val="2C9265D5"/>
    <w:rsid w:val="2C943ACA"/>
    <w:rsid w:val="2F561217"/>
    <w:rsid w:val="2FD23E16"/>
    <w:rsid w:val="308A70A0"/>
    <w:rsid w:val="31993E7B"/>
    <w:rsid w:val="326904CA"/>
    <w:rsid w:val="33277DE4"/>
    <w:rsid w:val="33D644EA"/>
    <w:rsid w:val="3466391C"/>
    <w:rsid w:val="3492592C"/>
    <w:rsid w:val="350259B6"/>
    <w:rsid w:val="35527ED3"/>
    <w:rsid w:val="3752716B"/>
    <w:rsid w:val="3AFB2473"/>
    <w:rsid w:val="3B000022"/>
    <w:rsid w:val="3B4E2A47"/>
    <w:rsid w:val="3B830B89"/>
    <w:rsid w:val="3E577856"/>
    <w:rsid w:val="3EE37DED"/>
    <w:rsid w:val="3FED7B60"/>
    <w:rsid w:val="42AE24C0"/>
    <w:rsid w:val="42CE66BF"/>
    <w:rsid w:val="42EB68B6"/>
    <w:rsid w:val="44663053"/>
    <w:rsid w:val="457479F1"/>
    <w:rsid w:val="458B0897"/>
    <w:rsid w:val="45C269AF"/>
    <w:rsid w:val="4621272F"/>
    <w:rsid w:val="475062F3"/>
    <w:rsid w:val="47605A10"/>
    <w:rsid w:val="47CA38F8"/>
    <w:rsid w:val="48EB7FCA"/>
    <w:rsid w:val="491F14B6"/>
    <w:rsid w:val="4A507745"/>
    <w:rsid w:val="4A527BD5"/>
    <w:rsid w:val="4B117A90"/>
    <w:rsid w:val="4DD76336"/>
    <w:rsid w:val="50067238"/>
    <w:rsid w:val="502025E6"/>
    <w:rsid w:val="50267B3A"/>
    <w:rsid w:val="50A11FE0"/>
    <w:rsid w:val="50D92DFE"/>
    <w:rsid w:val="51B95FB0"/>
    <w:rsid w:val="5245699D"/>
    <w:rsid w:val="52B6036C"/>
    <w:rsid w:val="534D53DE"/>
    <w:rsid w:val="55005F26"/>
    <w:rsid w:val="55012924"/>
    <w:rsid w:val="57847330"/>
    <w:rsid w:val="579572FB"/>
    <w:rsid w:val="58B9376B"/>
    <w:rsid w:val="5A4566FD"/>
    <w:rsid w:val="5C34538D"/>
    <w:rsid w:val="5E3308A2"/>
    <w:rsid w:val="5F93686E"/>
    <w:rsid w:val="6223037D"/>
    <w:rsid w:val="62B073C6"/>
    <w:rsid w:val="636C7AB1"/>
    <w:rsid w:val="643028DD"/>
    <w:rsid w:val="64A038CF"/>
    <w:rsid w:val="6530704D"/>
    <w:rsid w:val="6A5C442C"/>
    <w:rsid w:val="6A845F5F"/>
    <w:rsid w:val="6B6A0DCB"/>
    <w:rsid w:val="6D5A003F"/>
    <w:rsid w:val="6E3A4A84"/>
    <w:rsid w:val="6E931F60"/>
    <w:rsid w:val="6EEF1D13"/>
    <w:rsid w:val="70F76C5D"/>
    <w:rsid w:val="710D6547"/>
    <w:rsid w:val="71B648C4"/>
    <w:rsid w:val="723F4C6C"/>
    <w:rsid w:val="743005A4"/>
    <w:rsid w:val="75695C4F"/>
    <w:rsid w:val="761262E7"/>
    <w:rsid w:val="76602F0E"/>
    <w:rsid w:val="76B86E8E"/>
    <w:rsid w:val="77F51A1C"/>
    <w:rsid w:val="77FF4BD7"/>
    <w:rsid w:val="781060F3"/>
    <w:rsid w:val="7AC022E5"/>
    <w:rsid w:val="7AE364A4"/>
    <w:rsid w:val="7B892BA7"/>
    <w:rsid w:val="7C291AB3"/>
    <w:rsid w:val="7C4F3DF1"/>
    <w:rsid w:val="7FA75CF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exact"/>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20"/>
    <w:qFormat/>
    <w:uiPriority w:val="0"/>
    <w:pPr>
      <w:widowControl/>
      <w:spacing w:before="100" w:beforeAutospacing="1" w:after="100" w:afterAutospacing="1" w:line="240" w:lineRule="auto"/>
      <w:jc w:val="left"/>
      <w:outlineLvl w:val="2"/>
    </w:pPr>
    <w:rPr>
      <w:rFonts w:ascii="宋体" w:hAnsi="宋体" w:eastAsia="宋体" w:cs="宋体"/>
      <w:b/>
      <w:bCs/>
      <w:kern w:val="0"/>
      <w:sz w:val="27"/>
      <w:szCs w:val="27"/>
    </w:rPr>
  </w:style>
  <w:style w:type="paragraph" w:styleId="3">
    <w:name w:val="heading 4"/>
    <w:basedOn w:val="1"/>
    <w:next w:val="1"/>
    <w:link w:val="25"/>
    <w:unhideWhenUsed/>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qFormat/>
    <w:uiPriority w:val="0"/>
    <w:pPr>
      <w:spacing w:line="600" w:lineRule="exact"/>
      <w:ind w:firstLine="630"/>
    </w:pPr>
    <w:rPr>
      <w:rFonts w:ascii="Times New Roman" w:hAnsi="Times New Roman" w:eastAsia="仿宋_GB2312" w:cs="Times New Roman"/>
      <w:sz w:val="32"/>
    </w:rPr>
  </w:style>
  <w:style w:type="paragraph" w:styleId="5">
    <w:name w:val="footer"/>
    <w:basedOn w:val="1"/>
    <w:link w:val="15"/>
    <w:unhideWhenUsed/>
    <w:qFormat/>
    <w:uiPriority w:val="99"/>
    <w:pPr>
      <w:tabs>
        <w:tab w:val="center" w:pos="4153"/>
        <w:tab w:val="right" w:pos="8306"/>
      </w:tabs>
      <w:snapToGrid w:val="0"/>
      <w:spacing w:line="240" w:lineRule="atLeast"/>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宋体" w:hAnsi="宋体" w:eastAsia="宋体" w:cs="宋体"/>
      <w:kern w:val="0"/>
      <w:sz w:val="24"/>
      <w:szCs w:val="24"/>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Title"/>
    <w:basedOn w:val="1"/>
    <w:next w:val="4"/>
    <w:qFormat/>
    <w:uiPriority w:val="0"/>
    <w:pPr>
      <w:spacing w:before="240" w:after="60"/>
      <w:jc w:val="center"/>
      <w:outlineLvl w:val="0"/>
    </w:pPr>
    <w:rPr>
      <w:rFonts w:ascii="Arial" w:hAnsi="Arial" w:eastAsia="宋体" w:cs="Times New Roman"/>
      <w:b/>
      <w:sz w:val="32"/>
    </w:rPr>
  </w:style>
  <w:style w:type="table" w:styleId="11">
    <w:name w:val="Table Grid"/>
    <w:basedOn w:val="1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3">
    <w:name w:val="Hyperlink"/>
    <w:basedOn w:val="12"/>
    <w:qFormat/>
    <w:uiPriority w:val="0"/>
    <w:rPr>
      <w:color w:val="0000FF"/>
      <w:u w:val="single"/>
    </w:rPr>
  </w:style>
  <w:style w:type="character" w:customStyle="1" w:styleId="14">
    <w:name w:val="页眉 字符"/>
    <w:basedOn w:val="12"/>
    <w:link w:val="6"/>
    <w:qFormat/>
    <w:uiPriority w:val="99"/>
    <w:rPr>
      <w:sz w:val="18"/>
      <w:szCs w:val="18"/>
    </w:rPr>
  </w:style>
  <w:style w:type="character" w:customStyle="1" w:styleId="15">
    <w:name w:val="页脚 字符"/>
    <w:basedOn w:val="12"/>
    <w:link w:val="5"/>
    <w:qFormat/>
    <w:uiPriority w:val="99"/>
    <w:rPr>
      <w:sz w:val="18"/>
      <w:szCs w:val="18"/>
    </w:rPr>
  </w:style>
  <w:style w:type="paragraph" w:customStyle="1" w:styleId="16">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17">
    <w:name w:val="HTML 预设格式 字符"/>
    <w:basedOn w:val="12"/>
    <w:link w:val="7"/>
    <w:qFormat/>
    <w:uiPriority w:val="0"/>
    <w:rPr>
      <w:rFonts w:ascii="宋体" w:hAnsi="宋体" w:eastAsia="宋体" w:cs="宋体"/>
      <w:kern w:val="0"/>
      <w:sz w:val="24"/>
      <w:szCs w:val="24"/>
    </w:rPr>
  </w:style>
  <w:style w:type="paragraph" w:styleId="18">
    <w:name w:val="List Paragraph"/>
    <w:basedOn w:val="1"/>
    <w:qFormat/>
    <w:uiPriority w:val="34"/>
    <w:pPr>
      <w:spacing w:line="240" w:lineRule="auto"/>
      <w:ind w:firstLine="420" w:firstLineChars="200"/>
    </w:pPr>
    <w:rPr>
      <w:rFonts w:ascii="Times New Roman" w:hAnsi="Times New Roman" w:eastAsia="宋体" w:cs="Times New Roman"/>
      <w:szCs w:val="24"/>
    </w:rPr>
  </w:style>
  <w:style w:type="paragraph" w:customStyle="1" w:styleId="19">
    <w:name w:val="列出段落1"/>
    <w:basedOn w:val="1"/>
    <w:qFormat/>
    <w:uiPriority w:val="0"/>
    <w:pPr>
      <w:spacing w:line="240" w:lineRule="auto"/>
      <w:ind w:firstLine="420" w:firstLineChars="200"/>
    </w:pPr>
    <w:rPr>
      <w:rFonts w:ascii="Times New Roman" w:hAnsi="Times New Roman" w:eastAsia="宋体" w:cs="Times New Roman"/>
      <w:szCs w:val="24"/>
    </w:rPr>
  </w:style>
  <w:style w:type="character" w:customStyle="1" w:styleId="20">
    <w:name w:val="标题 3 字符"/>
    <w:basedOn w:val="12"/>
    <w:link w:val="2"/>
    <w:qFormat/>
    <w:uiPriority w:val="0"/>
    <w:rPr>
      <w:rFonts w:ascii="宋体" w:hAnsi="宋体" w:eastAsia="宋体" w:cs="宋体"/>
      <w:b/>
      <w:bCs/>
      <w:kern w:val="0"/>
      <w:sz w:val="27"/>
      <w:szCs w:val="27"/>
    </w:rPr>
  </w:style>
  <w:style w:type="paragraph" w:customStyle="1" w:styleId="21">
    <w:name w:val="列出段落2"/>
    <w:basedOn w:val="1"/>
    <w:qFormat/>
    <w:uiPriority w:val="0"/>
    <w:pPr>
      <w:spacing w:line="240" w:lineRule="auto"/>
      <w:ind w:firstLine="420" w:firstLineChars="200"/>
    </w:pPr>
    <w:rPr>
      <w:rFonts w:ascii="Times New Roman" w:hAnsi="Times New Roman" w:eastAsia="宋体" w:cs="Times New Roman"/>
      <w:szCs w:val="24"/>
    </w:rPr>
  </w:style>
  <w:style w:type="paragraph" w:customStyle="1" w:styleId="22">
    <w:name w:val="列出段落3"/>
    <w:basedOn w:val="1"/>
    <w:qFormat/>
    <w:uiPriority w:val="0"/>
    <w:pPr>
      <w:spacing w:line="240" w:lineRule="auto"/>
      <w:ind w:firstLine="420" w:firstLineChars="200"/>
    </w:pPr>
    <w:rPr>
      <w:rFonts w:ascii="Times New Roman" w:hAnsi="Times New Roman" w:eastAsia="宋体" w:cs="Times New Roman"/>
      <w:szCs w:val="24"/>
    </w:rPr>
  </w:style>
  <w:style w:type="character" w:customStyle="1" w:styleId="23">
    <w:name w:val="detail-field type-label"/>
    <w:basedOn w:val="12"/>
    <w:qFormat/>
    <w:uiPriority w:val="0"/>
  </w:style>
  <w:style w:type="paragraph" w:customStyle="1" w:styleId="24">
    <w:name w:val="列出段落4"/>
    <w:basedOn w:val="1"/>
    <w:qFormat/>
    <w:uiPriority w:val="0"/>
    <w:pPr>
      <w:spacing w:line="240" w:lineRule="auto"/>
      <w:ind w:firstLine="420" w:firstLineChars="200"/>
    </w:pPr>
    <w:rPr>
      <w:rFonts w:ascii="Times New Roman" w:hAnsi="Times New Roman" w:eastAsia="宋体" w:cs="Times New Roman"/>
      <w:szCs w:val="24"/>
    </w:rPr>
  </w:style>
  <w:style w:type="character" w:customStyle="1" w:styleId="25">
    <w:name w:val="标题 4 字符"/>
    <w:basedOn w:val="12"/>
    <w:link w:val="3"/>
    <w:qFormat/>
    <w:uiPriority w:val="9"/>
    <w:rPr>
      <w:rFonts w:asciiTheme="majorHAnsi" w:hAnsiTheme="majorHAnsi" w:eastAsiaTheme="majorEastAsia" w:cstheme="majorBidi"/>
      <w:b/>
      <w:bCs/>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2535</Words>
  <Characters>2626</Characters>
  <Lines>1</Lines>
  <Paragraphs>1</Paragraphs>
  <TotalTime>0</TotalTime>
  <ScaleCrop>false</ScaleCrop>
  <LinksUpToDate>false</LinksUpToDate>
  <CharactersWithSpaces>2640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2019-10-23T02:46:00Z</dcterms:created>
  <dc:creator>中科软</dc:creator>
  <cp:lastModifiedBy>Alex Spieler</cp:lastModifiedBy>
  <cp:lastPrinted>2024-09-23T02:30:00Z</cp:lastPrinted>
  <dcterms:modified xsi:type="dcterms:W3CDTF">2026-09-23T07:02:50Z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FF02ADEC6CF04F5E8FD4B8BC8D1A6F56_12</vt:lpwstr>
  </property>
  <property fmtid="{D5CDD505-2E9C-101B-9397-08002B2CF9AE}" pid="4" name="KSOTemplateDocerSaveRecord">
    <vt:lpwstr>eyJoZGlkIjoiOGVhNTdjNDY1MGIzOTM4NDZjY2RiY2VjMjQ5NjUzNzIiLCJ1c2VySWQiOiIzMDY4NDg1MTAifQ==</vt:lpwstr>
  </property>
</Properties>
</file>