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9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采购需求及预算明细</w:t>
      </w:r>
    </w:p>
    <w:tbl>
      <w:tblPr>
        <w:tblStyle w:val="2"/>
        <w:tblpPr w:leftFromText="180" w:rightFromText="180" w:vertAnchor="text" w:horzAnchor="page" w:tblpXSpec="center" w:tblpY="612"/>
        <w:tblOverlap w:val="never"/>
        <w:tblW w:w="102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46"/>
        <w:gridCol w:w="1843"/>
        <w:gridCol w:w="733"/>
        <w:gridCol w:w="855"/>
        <w:gridCol w:w="964"/>
        <w:gridCol w:w="992"/>
        <w:gridCol w:w="141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2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SPME部件及萃取头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采购需求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规格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单价（元）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总价（元）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质保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r>
              <w:rPr>
                <w:rFonts w:hint="eastAsia"/>
              </w:rPr>
              <w:t>固相微萃取萃取头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r>
              <w:t>65 μm(PDMS/DVB,</w:t>
            </w:r>
          </w:p>
          <w:p>
            <w:r>
              <w:t>needle size 23ga,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盒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45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22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质保一年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r>
              <w:rPr>
                <w:rFonts w:hint="eastAsia"/>
              </w:rPr>
              <w:t>固相微萃取萃取头组合套件</w:t>
            </w:r>
            <w:r>
              <w:cr/>
            </w: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四合一，包含以下萃取头各一种：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65μm PDMS/DVB 涂层；50/30μm DVB/Carboxen/PDMS 涂层；85μm Carboxen/PDMS 涂层</w:t>
            </w:r>
            <w:r>
              <w:t>；</w:t>
            </w:r>
            <w:r>
              <w:rPr>
                <w:rFonts w:hint="eastAsia"/>
              </w:rPr>
              <w:t>100μm PDMS 涂层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11200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质保一年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 xml:space="preserve">SPME进样针座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MSU 071-00A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质保一年</w:t>
            </w:r>
          </w:p>
        </w:tc>
        <w:tc>
          <w:tcPr>
            <w:tcW w:w="1134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总价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元）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66000</w:t>
            </w:r>
          </w:p>
        </w:tc>
      </w:tr>
    </w:tbl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00AE3249"/>
    <w:rsid w:val="00AE3249"/>
    <w:rsid w:val="36B4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hint="eastAsia" w:ascii="Calibri" w:hAnsi="Calibri"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2023-03-07T10:03:00Z</dcterms:created>
  <dc:creator>Simone-</dc:creator>
  <cp:lastModifiedBy>Simone-</cp:lastModifiedBy>
  <dcterms:modified xsi:type="dcterms:W3CDTF">2023-03-07T10:03:59Z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E38E315E42DD49C3A01DA42B3ECF1848</vt:lpwstr>
  </property>
</Properties>
</file>