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rFonts w:ascii="宋体" w:hAnsi="宋体" w:eastAsia="宋体"/>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rFonts w:ascii="宋体" w:hAnsi="宋体" w:eastAsia="宋体"/>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苏环建诺〔2026〕09第0060号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0CC6ABB1">
      <w:pPr>
        <w:pStyle w:val="4"/>
        <w:adjustRightInd w:val="0"/>
        <w:snapToGrid w:val="0"/>
        <w:spacing w:line="640" w:lineRule="exact"/>
        <w:jc w:val="center"/>
        <w:rPr>
          <w:rFonts w:hint="eastAsia" w:ascii="宋体" w:hAnsi="宋体" w:eastAsia="宋体"/>
          <w:sz w:val="44"/>
          <w:szCs w:val="44"/>
          <w:lang w:eastAsia="zh-CN"/>
        </w:rPr>
      </w:pPr>
      <w:bookmarkStart w:id="1" w:name="pf_title"/>
      <w:r>
        <w:rPr>
          <w:rFonts w:hint="eastAsia" w:ascii="宋体" w:hAnsi="宋体" w:eastAsia="宋体"/>
          <w:sz w:val="44"/>
          <w:szCs w:val="44"/>
          <w:lang w:eastAsia="zh-CN"/>
        </w:rPr>
        <w:t>关于对天星先进材料科技（苏州）有限公司</w:t>
      </w:r>
    </w:p>
    <w:p w14:paraId="057BA6EF">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建设项目生态环境影响报告表的批复</w:t>
      </w:r>
      <w:bookmarkEnd w:id="1"/>
    </w:p>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天星先进材料科技（苏州）有限公司</w:t>
            </w:r>
            <w:bookmarkEnd w:id="2"/>
            <w:r>
              <w:rPr>
                <w:rFonts w:hint="eastAsia"/>
                <w:szCs w:val="32"/>
              </w:rPr>
              <w:t>：</w:t>
            </w:r>
            <w:bookmarkStart w:id="9" w:name="_GoBack"/>
            <w:bookmarkEnd w:id="9"/>
          </w:p>
        </w:tc>
      </w:tr>
      <w:tr w14:paraId="7755C81F">
        <w:tblPrEx>
          <w:tblCellMar>
            <w:top w:w="0" w:type="dxa"/>
            <w:left w:w="108" w:type="dxa"/>
            <w:bottom w:w="0" w:type="dxa"/>
            <w:right w:w="108" w:type="dxa"/>
          </w:tblCellMar>
        </w:tblPrEx>
        <w:trPr>
          <w:jc w:val="center"/>
        </w:trPr>
        <w:tc>
          <w:tcPr>
            <w:tcW w:w="9177" w:type="dxa"/>
            <w:shd w:val="clear" w:color="auto" w:fill="auto"/>
          </w:tcPr>
          <w:p w14:paraId="26D592BC">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年产新能源智能箱柜2万套、工程智能模块化装备2台（套）、新能源实验平台设备1000台（套）生态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01D08E1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生态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25536259">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2026年10月13日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2601-320509-89-01-382675</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2026年10月13日印发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51675DA1"/>
    <w:rsid w:val="53D6033F"/>
    <w:rsid w:val="5681569C"/>
    <w:rsid w:val="6D0A0FD0"/>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unhideWhenUsed/>
    <w:qFormat/>
    <w:uiPriority w:val="99"/>
    <w:pPr>
      <w:jc w:val="left"/>
    </w:pPr>
  </w:style>
  <w:style w:type="paragraph" w:styleId="4">
    <w:name w:val="Body Text"/>
    <w:basedOn w:val="1"/>
    <w:link w:val="21"/>
    <w:uiPriority w:val="0"/>
    <w:rPr>
      <w:rFonts w:eastAsia="仿宋_GB2312"/>
      <w:sz w:val="32"/>
      <w:szCs w:val="20"/>
    </w:rPr>
  </w:style>
  <w:style w:type="paragraph" w:styleId="5">
    <w:name w:val="Date"/>
    <w:basedOn w:val="1"/>
    <w:next w:val="1"/>
    <w:uiPriority w:val="0"/>
    <w:pPr>
      <w:ind w:left="100" w:leftChars="2500"/>
    </w:pPr>
    <w:rPr>
      <w:rFonts w:eastAsia="仿宋_GB2312"/>
      <w:sz w:val="32"/>
    </w:rPr>
  </w:style>
  <w:style w:type="paragraph" w:styleId="6">
    <w:name w:val="Body Text Indent 2"/>
    <w:basedOn w:val="1"/>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uiPriority w:val="0"/>
    <w:rPr>
      <w:sz w:val="18"/>
      <w:szCs w:val="18"/>
    </w:rPr>
  </w:style>
  <w:style w:type="paragraph" w:styleId="8">
    <w:name w:val="footer"/>
    <w:basedOn w:val="1"/>
    <w:link w:val="20"/>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uiPriority w:val="0"/>
    <w:pPr>
      <w:spacing w:line="460" w:lineRule="exact"/>
      <w:ind w:firstLine="560" w:firstLineChars="200"/>
    </w:pPr>
    <w:rPr>
      <w:rFonts w:ascii="仿宋_GB2312" w:eastAsia="仿宋_GB2312"/>
      <w:sz w:val="28"/>
    </w:rPr>
  </w:style>
  <w:style w:type="paragraph" w:styleId="11">
    <w:name w:val="Body Text 2"/>
    <w:basedOn w:val="1"/>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735</Words>
  <Characters>770</Characters>
  <Lines>1</Lines>
  <Paragraphs>1</Paragraphs>
  <TotalTime>5</TotalTime>
  <ScaleCrop>false</ScaleCrop>
  <LinksUpToDate>false</LinksUpToDate>
  <CharactersWithSpaces>787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2026-10-13T05:03:02Z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