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napToGrid/>
        <w:spacing w:line="600" w:lineRule="exact"/>
        <w:ind w:firstLine="0" w:firstLineChars="0"/>
        <w:jc w:val="center"/>
        <w:rPr>
          <w:rFonts w:ascii="方正小标宋_GBK" w:hAnsi="方正小标宋_GBK" w:eastAsia="方正小标宋_GBK" w:cs="方正小标宋_GBK"/>
          <w:spacing w:val="0"/>
          <w:szCs w:val="32"/>
          <w:u w:val="single"/>
        </w:rPr>
      </w:pPr>
      <w:r>
        <w:rPr>
          <w:rFonts w:hint="eastAsia" w:ascii="方正小标宋_GBK" w:hAnsi="方正小标宋_GBK" w:eastAsia="方正小标宋_GBK" w:cs="方正小标宋_GBK"/>
          <w:spacing w:val="0"/>
          <w:szCs w:val="32"/>
          <w:lang w:eastAsia="zh-CN"/>
        </w:rPr>
        <w:t>苏州市生态环境局</w:t>
      </w:r>
      <w:r>
        <w:rPr>
          <w:rFonts w:hint="eastAsia" w:ascii="方正小标宋_GBK" w:hAnsi="方正小标宋_GBK" w:eastAsia="方正小标宋_GBK" w:cs="方正小标宋_GBK"/>
          <w:spacing w:val="0"/>
          <w:szCs w:val="32"/>
          <w:lang w:val="en-US" w:eastAsia="zh-CN"/>
        </w:rPr>
        <w:t>2026年10月份</w:t>
      </w:r>
      <w:r>
        <w:rPr>
          <w:rFonts w:hint="eastAsia" w:ascii="方正小标宋_GBK" w:hAnsi="方正小标宋_GBK" w:eastAsia="方正小标宋_GBK" w:cs="方正小标宋_GBK"/>
          <w:spacing w:val="0"/>
          <w:szCs w:val="32"/>
        </w:rPr>
        <w:t>涉企行政检查计划表</w:t>
      </w:r>
    </w:p>
    <w:tbl>
      <w:tblPr>
        <w:tblStyle w:val="10"/>
        <w:tblW w:w="4635" w:type="pct"/>
        <w:jc w:val="center"/>
        <w:tblLayout w:type="autofit"/>
        <w:tblCellMar>
          <w:top w:w="0" w:type="dxa"/>
          <w:left w:w="108" w:type="dxa"/>
          <w:bottom w:w="0" w:type="dxa"/>
          <w:right w:w="108" w:type="dxa"/>
        </w:tblCellMar>
      </w:tblPr>
      <w:tblGrid>
        <w:gridCol w:w="724"/>
        <w:gridCol w:w="1412"/>
        <w:gridCol w:w="1874"/>
        <w:gridCol w:w="943"/>
        <w:gridCol w:w="1412"/>
        <w:gridCol w:w="1412"/>
        <w:gridCol w:w="1412"/>
        <w:gridCol w:w="1082"/>
        <w:gridCol w:w="2332"/>
      </w:tblGrid>
      <w:tr>
        <w:tblPrEx>
          <w:tblCellMar>
            <w:top w:w="0" w:type="dxa"/>
            <w:left w:w="108" w:type="dxa"/>
            <w:bottom w:w="0" w:type="dxa"/>
            <w:right w:w="108" w:type="dxa"/>
          </w:tblCellMar>
        </w:tblPrEx>
        <w:trPr>
          <w:trHeight w:val="450"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序号</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检查事项</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检查依据</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检查对</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象范围</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检查比例</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(数量）</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检查频次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检查方式</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检查内容</w:t>
            </w:r>
          </w:p>
        </w:tc>
      </w:tr>
      <w:tr>
        <w:tblPrEx>
          <w:tblCellMar>
            <w:top w:w="0" w:type="dxa"/>
            <w:left w:w="108" w:type="dxa"/>
            <w:bottom w:w="0" w:type="dxa"/>
            <w:right w:w="108" w:type="dxa"/>
          </w:tblCellMar>
        </w:tblPrEx>
        <w:trPr>
          <w:trHeight w:val="450"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1</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重点排污单位双随机检查任务</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《中华人民共和国环境保护法》等法律法规，《国务院办公厅关于推广随机抽查规范事中事后监管的通知》《江苏省生态环境厅“双随机、一公开”监管实施办法》等文件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市生态环境综合行政执法局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全市重点排污单位</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22</w:t>
            </w:r>
            <w:r>
              <w:rPr>
                <w:rFonts w:hint="eastAsia" w:ascii="仿宋_GB2312" w:hAnsi="仿宋_GB2312" w:eastAsia="仿宋_GB2312" w:cs="仿宋_GB2312"/>
                <w:color w:val="000000" w:themeColor="text1"/>
                <w:sz w:val="15"/>
                <w:szCs w:val="15"/>
                <w:lang w:eastAsia="zh-CN"/>
                <w14:textFill>
                  <w14:solidFill>
                    <w14:schemeClr w14:val="tx1"/>
                  </w14:solidFill>
                </w14:textFill>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废水、大气、土壤、固废污染防治措施、环评制度落实情况、环境应急管理制度落实情况的检查</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2</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一般排污单位双随机检查任务</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《中华人民共和国环境保护法》等法律法规，《国务院办公厅关于推广随机抽查规范事中事后监管的通知》《江苏省生态环境厅“双随机、一公开”监管实施办法》等文件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市生态环境综合行政执法局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全市一般排污单位</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10</w:t>
            </w:r>
            <w:r>
              <w:rPr>
                <w:rFonts w:hint="eastAsia" w:ascii="仿宋_GB2312" w:hAnsi="仿宋_GB2312" w:eastAsia="仿宋_GB2312" w:cs="仿宋_GB2312"/>
                <w:color w:val="000000" w:themeColor="text1"/>
                <w:sz w:val="15"/>
                <w:szCs w:val="15"/>
                <w:lang w:eastAsia="zh-CN"/>
                <w14:textFill>
                  <w14:solidFill>
                    <w14:schemeClr w14:val="tx1"/>
                  </w14:solidFill>
                </w14:textFill>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废水、大气、固废污染防治措施、环评制度落实情况、环境应急管理制度落实情况的检查</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3</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特殊监管单位双随机检查任务</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《中华人民共和国环境保护法》等法律法规，《国务院办公厅关于推广随机抽查规范事中事后监管的通知》《江苏省生态环境厅“双随机、一公开”监管实施办法》等文件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市生态环境综合行政执法局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全市特殊监管单位</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2</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废水、大气、土壤、固废污染防治措施、环评制度落实情况、环境应急管理制度落实情况的检查</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4</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自然保护地、生态保护红线、生态空间管控区生态环境问题线索核实及监督检查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中华人民共和国自然保护区条例》《中华人民共和国湿地保护法》《国家级自然保护区监督检查办法》《生态保护红线生态环境监督办法（试行）》《自然保护地生态环境监管工作暂行办法》《省生态环境厅关于开展全省生态空间保护区域生态破坏问题监督工作的通知》</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自然保护地、生态保护红线、生态空间管控区域等重要生态空间内企业，按照问题线索确定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根据个案检查线索及上级生态环境部门工作要求执行</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根据个案检查线索及上级生态环境部门工作要求确定</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eastAsia="zh-CN"/>
                <w14:textFill>
                  <w14:solidFill>
                    <w14:schemeClr w14:val="tx1"/>
                  </w14:solidFill>
                </w14:textFill>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根据生态环境部双月监测变化图斑以及省市等遥感监测变化图斑，对自然保护地、生态保护红线、生态空间管控区等重要生态空间疑似问题线索开展核实处理，检查保护措施落实情况</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5</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加强酸洗、磷化等重点涉磷行业监督管理检查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省委办公厅、省政府办公厅《太湖综合治理三年行动方案（2026一2028年）》《2026年美丽江苏建设重点任务》等文件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纳入酸洗、磷化等重点涉磷行业监督管理的企业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根据企业排查情况适时开展</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根据企业排查情况确定</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核查企业酸洗、磷化等涉磷工段运行情况，巩固涉磷企业整治成效，持续加强“磷清单”管理，检查企业含磷原辅料储存情况及涉磷污染源（废弃、废水、固废）收集处置情况。</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6</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重金属环境安全隐患排查整治现场隐患排查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生态环境部等九部门《重金属环境安全隐患排查整治行动方案（</w:t>
            </w:r>
            <w:r>
              <w:rPr>
                <w:rFonts w:hint="default" w:ascii="仿宋_GB2312" w:hAnsi="仿宋_GB2312" w:eastAsia="仿宋_GB2312" w:cs="仿宋_GB2312"/>
                <w:color w:val="000000" w:themeColor="text1"/>
                <w:sz w:val="15"/>
                <w:szCs w:val="15"/>
                <w:lang w:val="en-US" w:eastAsia="zh-CN"/>
                <w14:textFill>
                  <w14:solidFill>
                    <w14:schemeClr w14:val="tx1"/>
                  </w14:solidFill>
                </w14:textFill>
              </w:rPr>
              <w:t>2025-2030</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年）》、《省生态环境厅等</w:t>
            </w:r>
            <w:r>
              <w:rPr>
                <w:rFonts w:hint="default" w:ascii="仿宋_GB2312" w:hAnsi="仿宋_GB2312" w:eastAsia="仿宋_GB2312" w:cs="仿宋_GB2312"/>
                <w:color w:val="000000" w:themeColor="text1"/>
                <w:sz w:val="15"/>
                <w:szCs w:val="15"/>
                <w:lang w:val="en-US" w:eastAsia="zh-CN"/>
                <w14:textFill>
                  <w14:solidFill>
                    <w14:schemeClr w14:val="tx1"/>
                  </w14:solidFill>
                </w14:textFill>
              </w:rPr>
              <w:t>6</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部门关于落实〈重金属环境安全隐患排查整治行动方案（</w:t>
            </w:r>
            <w:r>
              <w:rPr>
                <w:rFonts w:hint="default" w:ascii="仿宋_GB2312" w:hAnsi="仿宋_GB2312" w:eastAsia="仿宋_GB2312" w:cs="仿宋_GB2312"/>
                <w:color w:val="000000" w:themeColor="text1"/>
                <w:sz w:val="15"/>
                <w:szCs w:val="15"/>
                <w:lang w:val="en-US" w:eastAsia="zh-CN"/>
                <w14:textFill>
                  <w14:solidFill>
                    <w14:schemeClr w14:val="tx1"/>
                  </w14:solidFill>
                </w14:textFill>
              </w:rPr>
              <w:t>2026</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w:t>
            </w:r>
            <w:r>
              <w:rPr>
                <w:rFonts w:hint="default" w:ascii="仿宋_GB2312" w:hAnsi="仿宋_GB2312" w:eastAsia="仿宋_GB2312" w:cs="仿宋_GB2312"/>
                <w:color w:val="000000" w:themeColor="text1"/>
                <w:sz w:val="15"/>
                <w:szCs w:val="15"/>
                <w:lang w:val="en-US" w:eastAsia="zh-CN"/>
                <w14:textFill>
                  <w14:solidFill>
                    <w14:schemeClr w14:val="tx1"/>
                  </w14:solidFill>
                </w14:textFill>
              </w:rPr>
              <w:t>2027</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年）〉的通知》等文件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纳入重金属污染源排查清单的企业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根据污染隐患排查情况适时开展</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根据企业污染隐患程度确定现场核查次数</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现场核查企业重金属环境安全隐患排查整治情况，包括污染源危害性（废弃、废水、固废）、扩散性（雨污分流等）、环境敏感性（关联取水口等）等内容。</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7</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危险废物经营许可证现场核查及复核检查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《中华人民共和国固体废物污染环境防治法》《危险废物经营许可证管理办法》《危险废物经营单位审查和许可指南》等法律法规</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危险废物经营单位</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依企业申请及危险废物经营许可持证单位数量</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依企业申请及管理需要对相关企业进行核查</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企业是否满足申请危险废物经营许可证的条件</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8</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废弃电器电子产品回收处理情况审核检查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中华人民共和国固体废物污染环境防治法》等法律法规，《关于组织开展废弃电器电子产品拆解处理情况审核工作的通知》《财政部生态环境部关于印发〈废弃电器电子产品处理专项资金管理办法〉的通知》《废弃电器电子产品回收处理情况审核工作指南(试行)》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废弃电器电子产品处理企业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1家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废弃电器电子产品处理真实性、准确性、规范性等审核</w:t>
            </w:r>
          </w:p>
        </w:tc>
      </w:tr>
      <w:tr>
        <w:tblPrEx>
          <w:tblCellMar>
            <w:top w:w="0" w:type="dxa"/>
            <w:left w:w="108" w:type="dxa"/>
            <w:bottom w:w="0" w:type="dxa"/>
            <w:right w:w="108" w:type="dxa"/>
          </w:tblCellMar>
        </w:tblPrEx>
        <w:trPr>
          <w:trHeight w:val="90"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9</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2026年苏州市提升生态环境类检验检测机构监测数据质量技术帮扶</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中华人民共和国生态环境法典》、《生态环境监测条例》、《排污许可管理条例》等法律法规，《省生态环境厅省市场监管局关于印发《生态环境自行监测数据弄虚作假行为排查整治工作方案》的通知》(苏环办[2026]121号)，《关于持续加强生态环境技术服务机构监管深入开展弄虚作假问题整治的通知》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w:t>
            </w:r>
            <w:r>
              <w:rPr>
                <w:rFonts w:hint="eastAsia" w:ascii="仿宋_GB2312" w:hAnsi="仿宋_GB2312" w:cs="仿宋_GB2312"/>
                <w:color w:val="000000" w:themeColor="text1"/>
                <w:sz w:val="15"/>
                <w:szCs w:val="15"/>
                <w:lang w:val="en-US" w:eastAsia="zh-CN"/>
                <w14:textFill>
                  <w14:solidFill>
                    <w14:schemeClr w14:val="tx1"/>
                  </w14:solidFill>
                </w14:textFill>
              </w:rPr>
              <w:t>、市市场监督管理局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苏州市社会化生态环境类检验检测机构</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5家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市生态环境局联合市市场监督管理局，对社会化生态环境类检验检测机构历史监测报告和相关资料，设施设备、技术能力、技术人员、管理能力等方面存在的问题展开帮扶。</w:t>
            </w:r>
          </w:p>
        </w:tc>
      </w:tr>
      <w:tr>
        <w:tblPrEx>
          <w:tblCellMar>
            <w:top w:w="0" w:type="dxa"/>
            <w:left w:w="108" w:type="dxa"/>
            <w:bottom w:w="0" w:type="dxa"/>
            <w:right w:w="108" w:type="dxa"/>
          </w:tblCellMar>
        </w:tblPrEx>
        <w:trPr>
          <w:trHeight w:val="129"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10</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default" w:ascii="仿宋_GB2312" w:hAnsi="仿宋_GB2312" w:eastAsia="仿宋_GB2312" w:cs="仿宋_GB2312"/>
                <w:color w:val="000000" w:themeColor="text1"/>
                <w:sz w:val="15"/>
                <w:szCs w:val="15"/>
                <w:lang w:val="en-US" w:eastAsia="zh-CN"/>
                <w14:textFill>
                  <w14:solidFill>
                    <w14:schemeClr w14:val="tx1"/>
                  </w14:solidFill>
                </w14:textFill>
              </w:rPr>
              <w:t>2026</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年全市危险废物省级发证经营单位、医疗废物处置及电子拆解企业监督性监测</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《关于进一步规范危险废物省级发证经营单位监督性监测的通知》（苏环办〔</w:t>
            </w:r>
            <w:r>
              <w:rPr>
                <w:rFonts w:hint="default" w:ascii="仿宋_GB2312" w:hAnsi="仿宋_GB2312" w:eastAsia="仿宋_GB2312" w:cs="仿宋_GB2312"/>
                <w:color w:val="000000" w:themeColor="text1"/>
                <w:sz w:val="15"/>
                <w:szCs w:val="15"/>
                <w:lang w:val="en-US" w:eastAsia="zh-CN"/>
                <w14:textFill>
                  <w14:solidFill>
                    <w14:schemeClr w14:val="tx1"/>
                  </w14:solidFill>
                </w14:textFill>
              </w:rPr>
              <w:t>2018</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w:t>
            </w:r>
            <w:r>
              <w:rPr>
                <w:rFonts w:hint="default" w:ascii="仿宋_GB2312" w:hAnsi="仿宋_GB2312" w:eastAsia="仿宋_GB2312" w:cs="仿宋_GB2312"/>
                <w:color w:val="000000" w:themeColor="text1"/>
                <w:sz w:val="15"/>
                <w:szCs w:val="15"/>
                <w:lang w:val="en-US" w:eastAsia="zh-CN"/>
                <w14:textFill>
                  <w14:solidFill>
                    <w14:schemeClr w14:val="tx1"/>
                  </w14:solidFill>
                </w14:textFill>
              </w:rPr>
              <w:t>375</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号）等文件</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w:t>
            </w:r>
            <w:r>
              <w:rPr>
                <w:rFonts w:hint="eastAsia" w:ascii="仿宋_GB2312" w:hAnsi="仿宋_GB2312" w:eastAsia="仿宋_GB2312" w:cs="仿宋_GB2312"/>
                <w:color w:val="000000" w:themeColor="text1"/>
                <w:sz w:val="15"/>
                <w:szCs w:val="15"/>
                <w:lang w:eastAsia="zh-CN"/>
                <w14:textFill>
                  <w14:solidFill>
                    <w14:schemeClr w14:val="tx1"/>
                  </w14:solidFill>
                </w14:textFill>
              </w:rPr>
              <w:t>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全市危险废物省级发证经营单位、医疗废物处置及电子拆解企业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8</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家</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eastAsia="zh-CN"/>
                <w14:textFill>
                  <w14:solidFill>
                    <w14:schemeClr w14:val="tx1"/>
                  </w14:solidFill>
                </w14:textFill>
              </w:rPr>
            </w:pPr>
            <w:r>
              <w:rPr>
                <w:rFonts w:hint="default" w:ascii="仿宋_GB2312" w:hAnsi="仿宋_GB2312" w:eastAsia="仿宋_GB2312" w:cs="仿宋_GB2312"/>
                <w:color w:val="000000" w:themeColor="text1"/>
                <w:sz w:val="15"/>
                <w:szCs w:val="15"/>
                <w:lang w:val="en-US" w:eastAsia="zh-CN"/>
                <w14:textFill>
                  <w14:solidFill>
                    <w14:schemeClr w14:val="tx1"/>
                  </w14:solidFill>
                </w14:textFill>
              </w:rPr>
              <w:t>1</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对全市危险废物省级发证经营单位、医疗废物处置及电子拆解企业开展监督性监测和比对监测</w:t>
            </w:r>
          </w:p>
        </w:tc>
      </w:tr>
      <w:tr>
        <w:tblPrEx>
          <w:tblCellMar>
            <w:top w:w="0" w:type="dxa"/>
            <w:left w:w="108" w:type="dxa"/>
            <w:bottom w:w="0" w:type="dxa"/>
            <w:right w:w="108" w:type="dxa"/>
          </w:tblCellMar>
        </w:tblPrEx>
        <w:trPr>
          <w:trHeight w:val="129"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11</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建设项目生态环境保护事中事后监督管理检查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《中华人民共和国环境保护法》《建设项目环境保护管理条例》等法律法规</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苏州市生态环境局及委托执法主体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行政审批项目库中的建设项目</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不超过7个项目</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对行政审批项目库中建设项目的建设情况、自主验收情况的检查</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12</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信访举报（带案下访）</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《市委办公室 市政府办公室关于做好2025年度全市党政领导干部定期接待群众来访工作的通知》，《关于做好2025年度全市生态环境系统领导干部接访下访工作的通知》</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苏州市生态环境局</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约52个项目</w:t>
            </w: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根据信访举报情况适时开展</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1次</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公民、法人或者其他组织采用信息网络、书信、电话、传真、走访等形式，向生态环境部门反映的情况，以及提出的建议、意见或者投诉请求</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13</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个案检查</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《中华人民共和国环境保护法》等法律法规</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根据个案检查线索确定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根据个案检查线索确定</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根据个案检查线索确定</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根据投诉举报、转办交办、数据监测、应急响应、“邀约式”检查、高值区排查，行政处罚立案后的检查调查、整改复查等有指向线索开展的行政检查。</w:t>
            </w:r>
          </w:p>
        </w:tc>
      </w:tr>
      <w:tr>
        <w:tblPrEx>
          <w:tblCellMar>
            <w:top w:w="0" w:type="dxa"/>
            <w:left w:w="108" w:type="dxa"/>
            <w:bottom w:w="0" w:type="dxa"/>
            <w:right w:w="108" w:type="dxa"/>
          </w:tblCellMar>
        </w:tblPrEx>
        <w:trPr>
          <w:trHeight w:val="494" w:hRule="atLeast"/>
          <w:jc w:val="center"/>
        </w:trPr>
        <w:tc>
          <w:tcPr>
            <w:tcW w:w="287"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default" w:ascii="仿宋_GB2312" w:hAnsi="仿宋_GB2312" w:eastAsia="仿宋_GB2312" w:cs="仿宋_GB2312"/>
                <w:color w:val="000000" w:themeColor="text1"/>
                <w:sz w:val="15"/>
                <w:szCs w:val="15"/>
                <w:lang w:val="en-US" w:eastAsia="zh-CN"/>
                <w14:textFill>
                  <w14:solidFill>
                    <w14:schemeClr w14:val="tx1"/>
                  </w14:solidFill>
                </w14:textFill>
              </w:rPr>
            </w:pPr>
            <w:r>
              <w:rPr>
                <w:rFonts w:hint="eastAsia" w:ascii="仿宋_GB2312" w:hAnsi="仿宋_GB2312" w:cs="仿宋_GB2312"/>
                <w:color w:val="000000" w:themeColor="text1"/>
                <w:sz w:val="15"/>
                <w:szCs w:val="15"/>
                <w:lang w:val="en-US" w:eastAsia="zh-CN"/>
                <w14:textFill>
                  <w14:solidFill>
                    <w14:schemeClr w14:val="tx1"/>
                  </w14:solidFill>
                </w14:textFill>
              </w:rPr>
              <w:t>14</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纳入上级生态环境部门涉企行政检查计划的事项</w:t>
            </w:r>
          </w:p>
        </w:tc>
        <w:tc>
          <w:tcPr>
            <w:tcW w:w="743"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检查排污单位生态环境保护法律法规、制度及措施落实情况</w:t>
            </w:r>
          </w:p>
        </w:tc>
        <w:tc>
          <w:tcPr>
            <w:tcW w:w="374"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市生态环境局及委托执法主体</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按照上级生态环境部门涉企行政检查计划执行</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按照上级生态环境部门涉企行政检查计划执行</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按照上级部门检查计划确定（视情与双随机检查合并）</w:t>
            </w:r>
          </w:p>
        </w:tc>
        <w:tc>
          <w:tcPr>
            <w:tcW w:w="429"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现场检查或非现场检查</w:t>
            </w:r>
          </w:p>
        </w:tc>
        <w:tc>
          <w:tcPr>
            <w:tcW w:w="925" w:type="pc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center"/>
              <w:rPr>
                <w:rFonts w:hint="eastAsia" w:ascii="仿宋_GB2312" w:hAnsi="仿宋_GB2312" w:eastAsia="仿宋_GB2312" w:cs="仿宋_GB2312"/>
                <w:snapToGrid w:val="0"/>
                <w:color w:val="000000" w:themeColor="text1"/>
                <w:sz w:val="15"/>
                <w:szCs w:val="15"/>
                <w:lang w:val="en-US" w:eastAsia="zh-CN" w:bidi="ar-SA"/>
                <w14:textFill>
                  <w14:solidFill>
                    <w14:schemeClr w14:val="tx1"/>
                  </w14:solidFill>
                </w14:textFill>
              </w:rPr>
            </w:pPr>
            <w:r>
              <w:rPr>
                <w:rFonts w:hint="eastAsia" w:ascii="仿宋_GB2312" w:hAnsi="仿宋_GB2312" w:eastAsia="仿宋_GB2312" w:cs="仿宋_GB2312"/>
                <w:color w:val="000000" w:themeColor="text1"/>
                <w:sz w:val="15"/>
                <w:szCs w:val="15"/>
                <w:lang w:val="en-US" w:eastAsia="zh-CN"/>
                <w14:textFill>
                  <w14:solidFill>
                    <w14:schemeClr w14:val="tx1"/>
                  </w14:solidFill>
                </w14:textFill>
              </w:rPr>
              <w:t>按照上级生态环境部门涉企行政检查计划执行</w:t>
            </w:r>
          </w:p>
        </w:tc>
      </w:tr>
    </w:tbl>
    <w:p>
      <w:pPr>
        <w:pStyle w:val="6"/>
        <w:widowControl/>
        <w:overflowPunct w:val="0"/>
        <w:topLinePunct/>
        <w:snapToGrid/>
        <w:spacing w:line="520" w:lineRule="exact"/>
        <w:ind w:firstLine="0" w:firstLineChars="0"/>
        <w:rPr>
          <w:rFonts w:hint="eastAsia" w:ascii="方正小标宋_GBK" w:hAnsi="方正小标宋_GBK" w:eastAsia="方正小标宋_GBK" w:cs="方正小标宋_GBK"/>
          <w:spacing w:val="0"/>
          <w:szCs w:val="32"/>
          <w:lang w:eastAsia="zh-CN"/>
        </w:rPr>
        <w:sectPr>
          <w:footerReference r:id="rId5" w:type="default"/>
          <w:pgSz w:w="16838" w:h="11906" w:orient="landscape"/>
          <w:pgMar w:top="1531" w:right="1814" w:bottom="1531" w:left="1644" w:header="851" w:footer="992" w:gutter="0"/>
          <w:pgNumType w:fmt="numberInDash"/>
          <w:cols w:space="0" w:num="1"/>
          <w:rtlGutter w:val="0"/>
          <w:docGrid w:type="lines" w:linePitch="312" w:charSpace="0"/>
        </w:sectPr>
      </w:pPr>
      <w:r>
        <w:rPr>
          <w:rFonts w:hint="eastAsia" w:ascii="楷体_GB2312" w:hAnsi="楷体_GB2312" w:eastAsia="楷体_GB2312" w:cs="楷体_GB2312"/>
          <w:spacing w:val="0"/>
          <w:sz w:val="24"/>
          <w:szCs w:val="24"/>
        </w:rPr>
        <w:t>制表人：                              处（科）室负责人：                             审批人</w:t>
      </w:r>
    </w:p>
    <w:p>
      <w:pPr>
        <w:pStyle w:val="6"/>
        <w:widowControl/>
        <w:overflowPunct w:val="0"/>
        <w:topLinePunct/>
        <w:snapToGrid/>
        <w:spacing w:line="520" w:lineRule="exact"/>
        <w:ind w:firstLine="0" w:firstLineChars="0"/>
        <w:rPr>
          <w:rFonts w:ascii="楷体_GB2312" w:hAnsi="楷体_GB2312" w:eastAsia="楷体_GB2312" w:cs="楷体_GB2312"/>
          <w:spacing w:val="0"/>
          <w:sz w:val="24"/>
          <w:szCs w:val="24"/>
        </w:rPr>
      </w:pPr>
    </w:p>
    <w:sectPr>
      <w:pgSz w:w="16838" w:h="11906" w:orient="landscape"/>
      <w:pgMar w:top="1531" w:right="1814" w:bottom="1531" w:left="1644" w:header="851" w:footer="992" w:gutter="0"/>
      <w:pgNumType w:fmt="numberInDash"/>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embedRegular r:id="rId1" w:fontKey="{D4E55612-DB42-400C-8131-F994F87005B7}"/>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A00002BF" w:usb1="38CF7CFA" w:usb2="00082016" w:usb3="00000000" w:csb0="00040001" w:csb1="00000000"/>
    <w:embedRegular r:id="rId2" w:fontKey="{9926C407-78F4-442E-866E-B8B0241EB7DD}"/>
  </w:font>
  <w:font w:name="楷体_GB2312">
    <w:panose1 w:val="02010609030101010101"/>
    <w:charset w:val="86"/>
    <w:family w:val="modern"/>
    <w:pitch w:val="default"/>
    <w:sig w:usb0="00000001" w:usb1="080E0000" w:usb2="00000000" w:usb3="00000000" w:csb0="00040000" w:csb1="00000000"/>
    <w:embedRegular r:id="rId3" w:fontKey="{45738933-A7D6-47EC-A19D-46FB7641882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wordWrap w:val="0"/>
      <w:spacing w:line="473" w:lineRule="auto"/>
      <w:ind w:right="320" w:rightChars="100" w:firstLine="560"/>
      <w:rPr>
        <w:rFonts w:ascii="楷体_GB2312" w:eastAsia="楷体_GB2312"/>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7"/>
                      <w:ind w:firstLine="0" w:firstLineChars="0"/>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asciiTheme="minorEastAsia" w:hAnsiTheme="minorEastAsia" w:eastAsiaTheme="minorEastAsia" w:cstheme="minorEastAsia"/>
                        <w:sz w:val="28"/>
                        <w:szCs w:val="28"/>
                      </w:rPr>
                      <w:t>- 2 -</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0"/>
  <w:bordersDoNotSurroundFooter w:val="0"/>
  <w:documentProtection w:enforcement="0"/>
  <w:defaultTabStop w:val="420"/>
  <w:drawingGridVerticalSpacing w:val="22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172A27"/>
    <w:rsid w:val="00405C9F"/>
    <w:rsid w:val="0040650D"/>
    <w:rsid w:val="00615128"/>
    <w:rsid w:val="006D5CEF"/>
    <w:rsid w:val="00771B8A"/>
    <w:rsid w:val="009A44ED"/>
    <w:rsid w:val="00A51187"/>
    <w:rsid w:val="00B00E46"/>
    <w:rsid w:val="01115B19"/>
    <w:rsid w:val="015549E5"/>
    <w:rsid w:val="020C084C"/>
    <w:rsid w:val="02647ECA"/>
    <w:rsid w:val="02717B1F"/>
    <w:rsid w:val="03AF0EAC"/>
    <w:rsid w:val="06400C4E"/>
    <w:rsid w:val="067705EA"/>
    <w:rsid w:val="072B7208"/>
    <w:rsid w:val="079C46E5"/>
    <w:rsid w:val="07B66435"/>
    <w:rsid w:val="0A841701"/>
    <w:rsid w:val="0B0A6800"/>
    <w:rsid w:val="0E5E4367"/>
    <w:rsid w:val="0E6A5533"/>
    <w:rsid w:val="0EC71F0D"/>
    <w:rsid w:val="12A57F1D"/>
    <w:rsid w:val="12B85CC6"/>
    <w:rsid w:val="13777BDA"/>
    <w:rsid w:val="16740CAD"/>
    <w:rsid w:val="167F185F"/>
    <w:rsid w:val="16D359CD"/>
    <w:rsid w:val="16D737B0"/>
    <w:rsid w:val="171B2A04"/>
    <w:rsid w:val="177B1AE6"/>
    <w:rsid w:val="178A0A5E"/>
    <w:rsid w:val="19D63004"/>
    <w:rsid w:val="1A6F204B"/>
    <w:rsid w:val="1A6F582B"/>
    <w:rsid w:val="1BB158AD"/>
    <w:rsid w:val="1C3F50B7"/>
    <w:rsid w:val="1C4C185D"/>
    <w:rsid w:val="1CB86F6A"/>
    <w:rsid w:val="1DA41B2E"/>
    <w:rsid w:val="1DEB04D5"/>
    <w:rsid w:val="1E390005"/>
    <w:rsid w:val="1F074DC7"/>
    <w:rsid w:val="1F152820"/>
    <w:rsid w:val="1F1C5490"/>
    <w:rsid w:val="20483D8E"/>
    <w:rsid w:val="210B5343"/>
    <w:rsid w:val="21377975"/>
    <w:rsid w:val="24A13C25"/>
    <w:rsid w:val="24FB45A2"/>
    <w:rsid w:val="253963E2"/>
    <w:rsid w:val="253E11F4"/>
    <w:rsid w:val="25A7456B"/>
    <w:rsid w:val="27295BCD"/>
    <w:rsid w:val="274E2D73"/>
    <w:rsid w:val="28753C23"/>
    <w:rsid w:val="2B900A56"/>
    <w:rsid w:val="2BE96BBA"/>
    <w:rsid w:val="2C5A29E4"/>
    <w:rsid w:val="2C976B4B"/>
    <w:rsid w:val="2EA25753"/>
    <w:rsid w:val="2EAB4607"/>
    <w:rsid w:val="31666F0B"/>
    <w:rsid w:val="324F79A0"/>
    <w:rsid w:val="325356E2"/>
    <w:rsid w:val="328844F2"/>
    <w:rsid w:val="337D7F73"/>
    <w:rsid w:val="354B6B44"/>
    <w:rsid w:val="366E534C"/>
    <w:rsid w:val="37660BE6"/>
    <w:rsid w:val="3A4F1DB8"/>
    <w:rsid w:val="3DDD3E03"/>
    <w:rsid w:val="3EAA4B3F"/>
    <w:rsid w:val="3EE6343A"/>
    <w:rsid w:val="40580367"/>
    <w:rsid w:val="415D7F6C"/>
    <w:rsid w:val="41AD79B2"/>
    <w:rsid w:val="41F00D5A"/>
    <w:rsid w:val="42087100"/>
    <w:rsid w:val="420E33D3"/>
    <w:rsid w:val="43A35D9D"/>
    <w:rsid w:val="441F577B"/>
    <w:rsid w:val="456B2650"/>
    <w:rsid w:val="458A75D6"/>
    <w:rsid w:val="45C85D9B"/>
    <w:rsid w:val="462369CB"/>
    <w:rsid w:val="46AF05B5"/>
    <w:rsid w:val="46F30DEA"/>
    <w:rsid w:val="490E7FBD"/>
    <w:rsid w:val="49E56E60"/>
    <w:rsid w:val="4CB93F3C"/>
    <w:rsid w:val="4D115D63"/>
    <w:rsid w:val="4D752558"/>
    <w:rsid w:val="4E4837C9"/>
    <w:rsid w:val="4F70516D"/>
    <w:rsid w:val="4FE865DC"/>
    <w:rsid w:val="506A727A"/>
    <w:rsid w:val="50FE3FC3"/>
    <w:rsid w:val="51450494"/>
    <w:rsid w:val="51C82048"/>
    <w:rsid w:val="53013A3B"/>
    <w:rsid w:val="5325057D"/>
    <w:rsid w:val="538708F0"/>
    <w:rsid w:val="53F35F85"/>
    <w:rsid w:val="54627CBB"/>
    <w:rsid w:val="546B1FBF"/>
    <w:rsid w:val="547C5F7A"/>
    <w:rsid w:val="553E76D4"/>
    <w:rsid w:val="55821D4E"/>
    <w:rsid w:val="565A22EB"/>
    <w:rsid w:val="56D976B4"/>
    <w:rsid w:val="585E0DCD"/>
    <w:rsid w:val="5AEB7825"/>
    <w:rsid w:val="5BF44F90"/>
    <w:rsid w:val="5D7E219A"/>
    <w:rsid w:val="616B1851"/>
    <w:rsid w:val="61E2056B"/>
    <w:rsid w:val="61E66C4A"/>
    <w:rsid w:val="62495CD3"/>
    <w:rsid w:val="625C60E1"/>
    <w:rsid w:val="62EA449D"/>
    <w:rsid w:val="640125D7"/>
    <w:rsid w:val="64337AF9"/>
    <w:rsid w:val="68336E40"/>
    <w:rsid w:val="686A10DA"/>
    <w:rsid w:val="691602F4"/>
    <w:rsid w:val="69F800CA"/>
    <w:rsid w:val="6BD45021"/>
    <w:rsid w:val="6BE66911"/>
    <w:rsid w:val="6C2528C3"/>
    <w:rsid w:val="6D1E213F"/>
    <w:rsid w:val="6D205BE5"/>
    <w:rsid w:val="6EC6134F"/>
    <w:rsid w:val="6F3B3FB7"/>
    <w:rsid w:val="704B4381"/>
    <w:rsid w:val="70710506"/>
    <w:rsid w:val="70B577AF"/>
    <w:rsid w:val="70F27898"/>
    <w:rsid w:val="737830E5"/>
    <w:rsid w:val="73C179F6"/>
    <w:rsid w:val="74793674"/>
    <w:rsid w:val="74FF268A"/>
    <w:rsid w:val="75241FEA"/>
    <w:rsid w:val="75786D3D"/>
    <w:rsid w:val="76B655AB"/>
    <w:rsid w:val="771424D6"/>
    <w:rsid w:val="777109ED"/>
    <w:rsid w:val="779B158A"/>
    <w:rsid w:val="789E20B4"/>
    <w:rsid w:val="79594C76"/>
    <w:rsid w:val="7B1A7AA9"/>
    <w:rsid w:val="7C6347E5"/>
    <w:rsid w:val="7D142945"/>
    <w:rsid w:val="7DB24046"/>
    <w:rsid w:val="7E306C55"/>
    <w:rsid w:val="7EA47CF8"/>
    <w:rsid w:val="7EE50A3C"/>
    <w:rsid w:val="7F930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580" w:lineRule="exact"/>
      <w:ind w:firstLine="880" w:firstLineChars="200"/>
      <w:jc w:val="both"/>
    </w:pPr>
    <w:rPr>
      <w:rFonts w:ascii="Times New Roman" w:hAnsi="Times New Roman" w:eastAsia="仿宋_GB2312" w:cs="Times New Roman"/>
      <w:snapToGrid w:val="0"/>
      <w:sz w:val="32"/>
      <w:lang w:val="en-US" w:eastAsia="zh-CN" w:bidi="ar-SA"/>
    </w:rPr>
  </w:style>
  <w:style w:type="paragraph" w:styleId="3">
    <w:name w:val="heading 1"/>
    <w:basedOn w:val="1"/>
    <w:next w:val="1"/>
    <w:qFormat/>
    <w:uiPriority w:val="0"/>
    <w:pPr>
      <w:keepNext/>
      <w:keepLines/>
      <w:outlineLvl w:val="0"/>
    </w:pPr>
    <w:rPr>
      <w:kern w:val="44"/>
    </w:rPr>
  </w:style>
  <w:style w:type="paragraph" w:styleId="4">
    <w:name w:val="heading 2"/>
    <w:basedOn w:val="1"/>
    <w:next w:val="1"/>
    <w:semiHidden/>
    <w:unhideWhenUsed/>
    <w:qFormat/>
    <w:uiPriority w:val="0"/>
    <w:pPr>
      <w:keepNext/>
      <w:keepLines/>
      <w:outlineLvl w:val="1"/>
    </w:pPr>
    <w:rPr>
      <w:rFonts w:ascii="Arial" w:hAnsi="Arial"/>
    </w:rPr>
  </w:style>
  <w:style w:type="paragraph" w:styleId="5">
    <w:name w:val="heading 3"/>
    <w:basedOn w:val="1"/>
    <w:next w:val="1"/>
    <w:semiHidden/>
    <w:unhideWhenUsed/>
    <w:qFormat/>
    <w:uiPriority w:val="0"/>
    <w:pPr>
      <w:snapToGrid/>
      <w:spacing w:beforeAutospacing="1" w:afterAutospacing="1"/>
      <w:outlineLvl w:val="2"/>
    </w:pPr>
    <w:rPr>
      <w:rFonts w:cs="仿宋_GB2312"/>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rPr>
      <w:rFonts w:eastAsia="宋体"/>
    </w:rPr>
  </w:style>
  <w:style w:type="paragraph" w:styleId="6">
    <w:name w:val="Body Text"/>
    <w:basedOn w:val="1"/>
    <w:qFormat/>
    <w:uiPriority w:val="0"/>
    <w:pPr>
      <w:spacing w:line="560" w:lineRule="exact"/>
      <w:ind w:firstLine="630"/>
    </w:pPr>
    <w:rPr>
      <w:rFonts w:ascii="仿宋_GB2312" w:hAnsi="仿宋_GB2312"/>
      <w:spacing w:val="-6"/>
    </w:rPr>
  </w:style>
  <w:style w:type="paragraph" w:styleId="7">
    <w:name w:val="footer"/>
    <w:basedOn w:val="1"/>
    <w:qFormat/>
    <w:uiPriority w:val="0"/>
    <w:pPr>
      <w:tabs>
        <w:tab w:val="center" w:pos="4153"/>
        <w:tab w:val="right" w:pos="8306"/>
      </w:tabs>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pPr>
    <w:rPr>
      <w:sz w:val="18"/>
    </w:rPr>
  </w:style>
  <w:style w:type="paragraph" w:styleId="9">
    <w:name w:val="Title"/>
    <w:qFormat/>
    <w:uiPriority w:val="0"/>
    <w:pPr>
      <w:spacing w:line="720" w:lineRule="exact"/>
      <w:jc w:val="center"/>
      <w:outlineLvl w:val="0"/>
    </w:pPr>
    <w:rPr>
      <w:rFonts w:ascii="方正小标宋简体" w:hAnsi="方正小标宋简体" w:eastAsia="方正小标宋简体" w:cs="Times New Roman"/>
      <w:sz w:val="44"/>
      <w:szCs w:val="44"/>
      <w:lang w:val="en-US" w:eastAsia="zh-CN" w:bidi="ar-SA"/>
    </w:rPr>
  </w:style>
  <w:style w:type="character" w:styleId="12">
    <w:name w:val="page number"/>
    <w:basedOn w:val="11"/>
    <w:qFormat/>
    <w:uiPriority w:val="0"/>
    <w:rPr>
      <w:rFonts w:ascii="Times New Roman" w:hAnsi="Times New Roman"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Pages>
  <Words>549</Words>
  <Characters>3132</Characters>
  <Lines>26</Lines>
  <Paragraphs>7</Paragraphs>
  <TotalTime>0</TotalTime>
  <ScaleCrop>false</ScaleCrop>
  <LinksUpToDate>false</LinksUpToDate>
  <CharactersWithSpaces>3674</CharactersWithSpaces>
  <Application>WPS Office_12.8.2.15292_F1E327BC-269C-435d-A152-05C5408002CA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2025-06-24T06:54:00Z</dcterms:created>
  <dc:creator>Administrator</dc:creator>
  <cp:lastModifiedBy>Administrator</cp:lastModifiedBy>
  <cp:lastPrinted>2026-07-30T07:09:00Z</cp:lastPrinted>
  <dcterms:modified xsi:type="dcterms:W3CDTF">2026-09-24T05:03:37Z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2052-12.8.2.15292</vt:lpwstr>
  </property>
  <property fmtid="{D5CDD505-2E9C-101B-9397-08002B2CF9AE}" pid="3" name="ICV">
    <vt:lpwstr>936E4820A91A4400939D2F60EAAC8975_13</vt:lpwstr>
  </property>
  <property fmtid="{D5CDD505-2E9C-101B-9397-08002B2CF9AE}" pid="4" name="KSOTemplateDocerSaveRecord">
    <vt:lpwstr>eyJoZGlkIjoiNDZhOWYwNDk4Y2NjYTgxMmU4ZGI5Zjg2ZDMxODExZWMiLCJ1c2VySWQiOiIyOTA1MDMwMTIifQ==</vt:lpwstr>
  </property>
</Properties>
</file>