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2020年度苏州市生态环境局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行政复议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应诉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及处罚情况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425"/>
          <w:tab w:val="left" w:pos="7020"/>
        </w:tabs>
        <w:adjustRightInd w:val="0"/>
        <w:snapToGrid w:val="0"/>
        <w:spacing w:line="560" w:lineRule="exact"/>
        <w:rPr>
          <w:rFonts w:hint="eastAsia" w:ascii="黑体" w:hAnsi="黑体" w:eastAsia="黑体" w:cs="Times New Roman"/>
          <w:szCs w:val="24"/>
        </w:rPr>
      </w:pPr>
      <w:r>
        <w:rPr>
          <w:rFonts w:hint="eastAsia" w:ascii="黑体" w:hAnsi="黑体" w:eastAsia="黑体" w:cs="Times New Roman"/>
          <w:szCs w:val="24"/>
          <w:lang w:eastAsia="zh-CN"/>
        </w:rPr>
        <w:t>一、</w:t>
      </w:r>
      <w:r>
        <w:rPr>
          <w:rFonts w:hint="eastAsia" w:ascii="黑体" w:hAnsi="黑体" w:eastAsia="黑体" w:cs="Times New Roman"/>
          <w:szCs w:val="24"/>
        </w:rPr>
        <w:t>行政复议情况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2020年，我局受理行政复议1件，作出行政复议决定2件（含上年结转）。在作出复议决定的2件行政复议中，从作出原行政行为的机构来看，常熟局1件，太仓局1件；从原行政行为类型看，均为信息公开案件。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，我局被行政复议10件。在被复议案件中，从办理行政行为的机构来看，太仓局4件，相城局3件，张家港局1件，市本级1件，吴江局1件；从被复议行政行为的类型看，行政处罚8件，行政不作为1件，信息公开1件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tabs>
          <w:tab w:val="left" w:pos="425"/>
          <w:tab w:val="left" w:pos="7020"/>
        </w:tabs>
        <w:adjustRightInd w:val="0"/>
        <w:snapToGrid w:val="0"/>
        <w:spacing w:line="560" w:lineRule="exact"/>
        <w:rPr>
          <w:rFonts w:hint="eastAsia" w:ascii="黑体" w:hAnsi="黑体" w:eastAsia="黑体" w:cs="Times New Roman"/>
          <w:szCs w:val="24"/>
        </w:rPr>
      </w:pPr>
      <w:r>
        <w:rPr>
          <w:rFonts w:hint="eastAsia" w:ascii="黑体" w:hAnsi="黑体" w:eastAsia="黑体" w:cs="Times New Roman"/>
          <w:szCs w:val="24"/>
          <w:lang w:eastAsia="zh-CN"/>
        </w:rPr>
        <w:t>二、</w:t>
      </w:r>
      <w:r>
        <w:rPr>
          <w:rFonts w:hint="eastAsia" w:ascii="黑体" w:hAnsi="黑体" w:eastAsia="黑体" w:cs="Times New Roman"/>
          <w:szCs w:val="24"/>
        </w:rPr>
        <w:t>行政应诉情况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，我局行政应诉19件。在应诉案件中，从办理行政行为的机构来看，昆山局5件、张家港局4件，相城局3件，高新区局2件，姑苏局2件，太仓局2件，吴中局1件；从被诉行政行为的类型来看，行政处罚16件，责令改正决定2件，行政许可1件；从案件结果来看，其中原告撤诉的2件，法院驳回原告诉讼请求的5件，驳回原告起诉的1件，尚未判决的11件。我局严格落实行政机关负责人出庭应诉制度，出庭应诉率达100%。</w:t>
      </w:r>
    </w:p>
    <w:p>
      <w:pPr>
        <w:pStyle w:val="2"/>
        <w:tabs>
          <w:tab w:val="left" w:pos="425"/>
          <w:tab w:val="left" w:pos="7020"/>
        </w:tabs>
        <w:adjustRightInd w:val="0"/>
        <w:snapToGrid w:val="0"/>
        <w:spacing w:line="560" w:lineRule="exact"/>
        <w:rPr>
          <w:rFonts w:hint="eastAsia" w:ascii="黑体" w:hAnsi="黑体" w:eastAsia="黑体" w:cs="Times New Roman"/>
          <w:szCs w:val="24"/>
          <w:lang w:eastAsia="zh-CN"/>
        </w:rPr>
      </w:pPr>
      <w:r>
        <w:rPr>
          <w:rFonts w:hint="eastAsia" w:ascii="黑体" w:hAnsi="黑体" w:eastAsia="黑体" w:cs="Times New Roman"/>
          <w:szCs w:val="24"/>
          <w:lang w:eastAsia="zh-CN"/>
        </w:rPr>
        <w:t>三、行政处罚情况</w:t>
      </w: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2020年，我局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共实施行政处罚1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件，罚款金额1.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亿元；强化司法联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动，共运用环保法配套办法查处案件119件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A1919"/>
    <w:rsid w:val="0C101143"/>
    <w:rsid w:val="11DA1919"/>
    <w:rsid w:val="17FD28FA"/>
    <w:rsid w:val="4AC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640" w:firstLineChars="200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市环保局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2020-02-14T07:23:00Z</dcterms:created>
  <dc:creator>范茂</dc:creator>
  <cp:lastModifiedBy>范茂</cp:lastModifiedBy>
  <dcterms:modified xsi:type="dcterms:W3CDTF">2021-01-29T08:22:39Z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